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995C3" w14:textId="24048861" w:rsidR="00956161" w:rsidRDefault="00106CF3" w:rsidP="00A52F5E">
      <w:pPr>
        <w:pStyle w:val="Ttulo"/>
      </w:pPr>
      <w:r w:rsidRPr="00956161">
        <w:t>ACUERDO QUE, EMITE EL CONSEJO ESTATAL DEL INSTITUTO ELECTORAL Y DE PARTICIPACIÓN CIUDADANA DE TABASCO, POR EL QUE, SE APRUEBA EL REGLAMENTO PARA LA ORGANIZACIÓN Y CONSERVACIÓN DEL ARCHIVO DEL PROPIO INSTITUTO</w:t>
      </w:r>
    </w:p>
    <w:p w14:paraId="5CF0C861" w14:textId="77777777" w:rsidR="00106CF3" w:rsidRPr="00106CF3" w:rsidRDefault="00106CF3" w:rsidP="00106CF3"/>
    <w:p w14:paraId="01DEC48A" w14:textId="6860DDB8" w:rsidR="00A52F5E" w:rsidRPr="00106CF3" w:rsidRDefault="00A52F5E" w:rsidP="00A52F5E">
      <w:pPr>
        <w:rPr>
          <w:rFonts w:ascii="Arial" w:hAnsi="Arial" w:cs="Arial"/>
          <w:sz w:val="23"/>
          <w:szCs w:val="23"/>
        </w:rPr>
      </w:pPr>
      <w:r w:rsidRPr="00106CF3">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956161" w:rsidRPr="00106CF3" w14:paraId="774F8E66" w14:textId="77777777" w:rsidTr="00D05B4C">
        <w:trPr>
          <w:trHeight w:val="624"/>
          <w:jc w:val="center"/>
        </w:trPr>
        <w:tc>
          <w:tcPr>
            <w:tcW w:w="2042" w:type="pct"/>
            <w:shd w:val="clear" w:color="auto" w:fill="auto"/>
            <w:vAlign w:val="center"/>
          </w:tcPr>
          <w:p w14:paraId="0CD0EB86"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Consejo Estatal:</w:t>
            </w:r>
          </w:p>
        </w:tc>
        <w:tc>
          <w:tcPr>
            <w:tcW w:w="2958" w:type="pct"/>
            <w:shd w:val="clear" w:color="auto" w:fill="auto"/>
            <w:vAlign w:val="center"/>
          </w:tcPr>
          <w:p w14:paraId="45E82E93"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Consejo Estatal del Instituto Electoral y de Participación Ciudadana de Tabasco.</w:t>
            </w:r>
          </w:p>
        </w:tc>
      </w:tr>
      <w:tr w:rsidR="00956161" w:rsidRPr="00106CF3" w14:paraId="63D0A7E2" w14:textId="77777777" w:rsidTr="00D05B4C">
        <w:trPr>
          <w:trHeight w:val="624"/>
          <w:jc w:val="center"/>
        </w:trPr>
        <w:tc>
          <w:tcPr>
            <w:tcW w:w="2042" w:type="pct"/>
            <w:shd w:val="clear" w:color="auto" w:fill="auto"/>
            <w:vAlign w:val="center"/>
          </w:tcPr>
          <w:p w14:paraId="4216C675"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Constitución Federal:</w:t>
            </w:r>
          </w:p>
        </w:tc>
        <w:tc>
          <w:tcPr>
            <w:tcW w:w="2958" w:type="pct"/>
            <w:shd w:val="clear" w:color="auto" w:fill="auto"/>
            <w:vAlign w:val="center"/>
          </w:tcPr>
          <w:p w14:paraId="7EC84374"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Constitución Política de los Estados Unidos Mexicanos.</w:t>
            </w:r>
          </w:p>
        </w:tc>
      </w:tr>
      <w:tr w:rsidR="00956161" w:rsidRPr="00106CF3" w14:paraId="19AD6EDC" w14:textId="77777777" w:rsidTr="00D05B4C">
        <w:trPr>
          <w:trHeight w:val="624"/>
          <w:jc w:val="center"/>
        </w:trPr>
        <w:tc>
          <w:tcPr>
            <w:tcW w:w="2042" w:type="pct"/>
            <w:shd w:val="clear" w:color="auto" w:fill="auto"/>
            <w:vAlign w:val="center"/>
          </w:tcPr>
          <w:p w14:paraId="56C574EC"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Constitución Local:</w:t>
            </w:r>
          </w:p>
        </w:tc>
        <w:tc>
          <w:tcPr>
            <w:tcW w:w="2958" w:type="pct"/>
            <w:shd w:val="clear" w:color="auto" w:fill="auto"/>
            <w:vAlign w:val="center"/>
          </w:tcPr>
          <w:p w14:paraId="70236A2F"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Constitución Política del Estado Libre y Soberano de Tabasco.</w:t>
            </w:r>
          </w:p>
        </w:tc>
      </w:tr>
      <w:tr w:rsidR="00956161" w:rsidRPr="00106CF3" w14:paraId="65B4AD8D" w14:textId="77777777" w:rsidTr="00D05B4C">
        <w:trPr>
          <w:trHeight w:val="624"/>
          <w:jc w:val="center"/>
        </w:trPr>
        <w:tc>
          <w:tcPr>
            <w:tcW w:w="2042" w:type="pct"/>
            <w:shd w:val="clear" w:color="auto" w:fill="auto"/>
            <w:vAlign w:val="center"/>
          </w:tcPr>
          <w:p w14:paraId="2D82A30C"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Instituto:</w:t>
            </w:r>
          </w:p>
        </w:tc>
        <w:tc>
          <w:tcPr>
            <w:tcW w:w="2958" w:type="pct"/>
            <w:shd w:val="clear" w:color="auto" w:fill="auto"/>
          </w:tcPr>
          <w:p w14:paraId="07B5D4E3"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Instituto Electoral y de Participación Ciudadana de Tabasco.</w:t>
            </w:r>
          </w:p>
        </w:tc>
      </w:tr>
      <w:tr w:rsidR="00956161" w:rsidRPr="00106CF3" w14:paraId="3FF00860" w14:textId="77777777" w:rsidTr="00D05B4C">
        <w:trPr>
          <w:trHeight w:val="624"/>
          <w:jc w:val="center"/>
        </w:trPr>
        <w:tc>
          <w:tcPr>
            <w:tcW w:w="2042" w:type="pct"/>
            <w:shd w:val="clear" w:color="auto" w:fill="auto"/>
            <w:vAlign w:val="center"/>
          </w:tcPr>
          <w:p w14:paraId="5F72F70D"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Ley de Archivos:</w:t>
            </w:r>
          </w:p>
        </w:tc>
        <w:tc>
          <w:tcPr>
            <w:tcW w:w="2958" w:type="pct"/>
            <w:shd w:val="clear" w:color="auto" w:fill="auto"/>
            <w:vAlign w:val="center"/>
          </w:tcPr>
          <w:p w14:paraId="587C9F17"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Ley de Archivos del Estado de Tabasco.</w:t>
            </w:r>
          </w:p>
        </w:tc>
      </w:tr>
      <w:tr w:rsidR="00956161" w:rsidRPr="00106CF3" w14:paraId="53D21546" w14:textId="77777777" w:rsidTr="00D05B4C">
        <w:trPr>
          <w:trHeight w:val="624"/>
          <w:jc w:val="center"/>
        </w:trPr>
        <w:tc>
          <w:tcPr>
            <w:tcW w:w="2042" w:type="pct"/>
            <w:shd w:val="clear" w:color="auto" w:fill="auto"/>
            <w:vAlign w:val="center"/>
          </w:tcPr>
          <w:p w14:paraId="767E2E9A"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Ley de Protección de Datos:</w:t>
            </w:r>
          </w:p>
        </w:tc>
        <w:tc>
          <w:tcPr>
            <w:tcW w:w="2958" w:type="pct"/>
            <w:shd w:val="clear" w:color="auto" w:fill="auto"/>
            <w:vAlign w:val="center"/>
          </w:tcPr>
          <w:p w14:paraId="61CEC114"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Ley de Protección de Datos Personales en posesión de sujetos obligados del Estado de Tabasco.</w:t>
            </w:r>
          </w:p>
        </w:tc>
      </w:tr>
      <w:tr w:rsidR="00956161" w:rsidRPr="00106CF3" w14:paraId="79CF767A" w14:textId="77777777" w:rsidTr="00D05B4C">
        <w:trPr>
          <w:trHeight w:val="624"/>
          <w:jc w:val="center"/>
        </w:trPr>
        <w:tc>
          <w:tcPr>
            <w:tcW w:w="2042" w:type="pct"/>
            <w:shd w:val="clear" w:color="auto" w:fill="auto"/>
            <w:vAlign w:val="center"/>
          </w:tcPr>
          <w:p w14:paraId="3D8705AE"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Ley de Transparencia:</w:t>
            </w:r>
          </w:p>
        </w:tc>
        <w:tc>
          <w:tcPr>
            <w:tcW w:w="2958" w:type="pct"/>
            <w:shd w:val="clear" w:color="auto" w:fill="auto"/>
            <w:vAlign w:val="center"/>
          </w:tcPr>
          <w:p w14:paraId="7FF1C996"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Ley de Transparencia y Acceso a la Información Pública del Estado de Tabasco.</w:t>
            </w:r>
          </w:p>
        </w:tc>
      </w:tr>
      <w:tr w:rsidR="00956161" w:rsidRPr="00106CF3" w14:paraId="550C2102" w14:textId="77777777" w:rsidTr="00D05B4C">
        <w:trPr>
          <w:trHeight w:val="624"/>
          <w:jc w:val="center"/>
        </w:trPr>
        <w:tc>
          <w:tcPr>
            <w:tcW w:w="2042" w:type="pct"/>
            <w:shd w:val="clear" w:color="auto" w:fill="auto"/>
            <w:vAlign w:val="center"/>
          </w:tcPr>
          <w:p w14:paraId="2701113F"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Ley Electoral:</w:t>
            </w:r>
          </w:p>
        </w:tc>
        <w:tc>
          <w:tcPr>
            <w:tcW w:w="2958" w:type="pct"/>
            <w:shd w:val="clear" w:color="auto" w:fill="auto"/>
            <w:vAlign w:val="center"/>
          </w:tcPr>
          <w:p w14:paraId="6EFF5927"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Ley Electoral y de Partidos Políticos del Estado de Tabasco.</w:t>
            </w:r>
          </w:p>
        </w:tc>
      </w:tr>
      <w:tr w:rsidR="00956161" w:rsidRPr="00106CF3" w14:paraId="188678C9" w14:textId="77777777" w:rsidTr="00D05B4C">
        <w:trPr>
          <w:trHeight w:val="624"/>
          <w:jc w:val="center"/>
        </w:trPr>
        <w:tc>
          <w:tcPr>
            <w:tcW w:w="2042" w:type="pct"/>
            <w:shd w:val="clear" w:color="auto" w:fill="auto"/>
            <w:vAlign w:val="center"/>
          </w:tcPr>
          <w:p w14:paraId="4D5B1CAC"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Ley General de Transparencia:</w:t>
            </w:r>
          </w:p>
        </w:tc>
        <w:tc>
          <w:tcPr>
            <w:tcW w:w="2958" w:type="pct"/>
            <w:shd w:val="clear" w:color="auto" w:fill="auto"/>
            <w:vAlign w:val="center"/>
          </w:tcPr>
          <w:p w14:paraId="3B67CF3F"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Ley General de Transparencia y Acceso a la Información Pública.</w:t>
            </w:r>
          </w:p>
        </w:tc>
      </w:tr>
      <w:tr w:rsidR="00956161" w:rsidRPr="00106CF3" w14:paraId="61A852EC" w14:textId="77777777" w:rsidTr="00D05B4C">
        <w:trPr>
          <w:trHeight w:val="624"/>
          <w:jc w:val="center"/>
        </w:trPr>
        <w:tc>
          <w:tcPr>
            <w:tcW w:w="2042" w:type="pct"/>
            <w:shd w:val="clear" w:color="auto" w:fill="auto"/>
            <w:vAlign w:val="center"/>
          </w:tcPr>
          <w:p w14:paraId="79D462C6"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Ley General:</w:t>
            </w:r>
          </w:p>
        </w:tc>
        <w:tc>
          <w:tcPr>
            <w:tcW w:w="2958" w:type="pct"/>
            <w:shd w:val="clear" w:color="auto" w:fill="auto"/>
            <w:vAlign w:val="center"/>
          </w:tcPr>
          <w:p w14:paraId="63DE4921"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Ley General de Instituciones y Procedimientos Electorales.</w:t>
            </w:r>
          </w:p>
        </w:tc>
      </w:tr>
      <w:tr w:rsidR="00956161" w:rsidRPr="00106CF3" w14:paraId="28B1356C" w14:textId="77777777" w:rsidTr="00D05B4C">
        <w:trPr>
          <w:trHeight w:val="624"/>
          <w:jc w:val="center"/>
        </w:trPr>
        <w:tc>
          <w:tcPr>
            <w:tcW w:w="2042" w:type="pct"/>
            <w:shd w:val="clear" w:color="auto" w:fill="auto"/>
            <w:vAlign w:val="center"/>
          </w:tcPr>
          <w:p w14:paraId="11822312"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Organismo electoral:</w:t>
            </w:r>
          </w:p>
        </w:tc>
        <w:tc>
          <w:tcPr>
            <w:tcW w:w="2958" w:type="pct"/>
            <w:shd w:val="clear" w:color="auto" w:fill="auto"/>
            <w:vAlign w:val="center"/>
          </w:tcPr>
          <w:p w14:paraId="48881C44"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 xml:space="preserve">Organismo(s) público(s) local(es) electoral(es). </w:t>
            </w:r>
          </w:p>
        </w:tc>
      </w:tr>
      <w:tr w:rsidR="00956161" w:rsidRPr="00106CF3" w14:paraId="5B583146" w14:textId="77777777" w:rsidTr="00D05B4C">
        <w:trPr>
          <w:trHeight w:val="624"/>
          <w:jc w:val="center"/>
        </w:trPr>
        <w:tc>
          <w:tcPr>
            <w:tcW w:w="2042" w:type="pct"/>
            <w:shd w:val="clear" w:color="auto" w:fill="auto"/>
            <w:vAlign w:val="center"/>
          </w:tcPr>
          <w:p w14:paraId="315B261C" w14:textId="77777777" w:rsidR="00956161" w:rsidRPr="00106CF3" w:rsidRDefault="00956161" w:rsidP="00D05B4C">
            <w:pPr>
              <w:spacing w:before="40" w:after="40"/>
              <w:ind w:left="57"/>
              <w:jc w:val="right"/>
              <w:rPr>
                <w:rFonts w:ascii="Arial" w:hAnsi="Arial" w:cs="Arial"/>
                <w:b/>
                <w:sz w:val="20"/>
                <w:szCs w:val="20"/>
              </w:rPr>
            </w:pPr>
            <w:r w:rsidRPr="00106CF3">
              <w:rPr>
                <w:rFonts w:ascii="Arial" w:hAnsi="Arial" w:cs="Arial"/>
                <w:b/>
                <w:sz w:val="20"/>
                <w:szCs w:val="20"/>
              </w:rPr>
              <w:t>Secretaría Ejecutiva:</w:t>
            </w:r>
          </w:p>
        </w:tc>
        <w:tc>
          <w:tcPr>
            <w:tcW w:w="2958" w:type="pct"/>
            <w:shd w:val="clear" w:color="auto" w:fill="auto"/>
            <w:vAlign w:val="center"/>
          </w:tcPr>
          <w:p w14:paraId="10D1CAA7" w14:textId="77777777" w:rsidR="00956161" w:rsidRPr="00106CF3" w:rsidRDefault="00956161" w:rsidP="00D05B4C">
            <w:pPr>
              <w:spacing w:before="40" w:after="40"/>
              <w:ind w:left="57"/>
              <w:rPr>
                <w:rFonts w:ascii="Arial" w:hAnsi="Arial" w:cs="Arial"/>
                <w:sz w:val="20"/>
                <w:szCs w:val="20"/>
              </w:rPr>
            </w:pPr>
            <w:r w:rsidRPr="00106CF3">
              <w:rPr>
                <w:rFonts w:ascii="Arial" w:hAnsi="Arial" w:cs="Arial"/>
                <w:sz w:val="20"/>
                <w:szCs w:val="20"/>
              </w:rPr>
              <w:t>Secretaría Ejecutiva del Instituto Electoral y de Participación Ciudadana de Tabasco.</w:t>
            </w:r>
          </w:p>
        </w:tc>
      </w:tr>
    </w:tbl>
    <w:p w14:paraId="6CB99F9F" w14:textId="4FB70382" w:rsidR="000A5AF1" w:rsidRPr="00106CF3" w:rsidRDefault="000A5AF1" w:rsidP="00781FA8">
      <w:pPr>
        <w:pStyle w:val="Ttulo1"/>
        <w:rPr>
          <w:sz w:val="24"/>
          <w:szCs w:val="24"/>
        </w:rPr>
      </w:pPr>
      <w:r w:rsidRPr="00106CF3">
        <w:rPr>
          <w:sz w:val="24"/>
          <w:szCs w:val="24"/>
        </w:rPr>
        <w:t>Antecedentes</w:t>
      </w:r>
    </w:p>
    <w:p w14:paraId="282D92C5" w14:textId="77777777" w:rsidR="000A5AF1" w:rsidRPr="00106CF3" w:rsidRDefault="000A5AF1" w:rsidP="008B14C2">
      <w:pPr>
        <w:pStyle w:val="Ttulo2"/>
        <w:rPr>
          <w:sz w:val="23"/>
          <w:szCs w:val="23"/>
        </w:rPr>
      </w:pPr>
      <w:r w:rsidRPr="00106CF3">
        <w:rPr>
          <w:sz w:val="23"/>
          <w:szCs w:val="23"/>
        </w:rPr>
        <w:t>Ley de Transparencia</w:t>
      </w:r>
    </w:p>
    <w:p w14:paraId="77645AB7" w14:textId="77777777" w:rsidR="000A5AF1" w:rsidRPr="00106CF3" w:rsidRDefault="000A5AF1" w:rsidP="003933E6">
      <w:pPr>
        <w:rPr>
          <w:rFonts w:ascii="Arial" w:hAnsi="Arial" w:cs="Arial"/>
          <w:sz w:val="23"/>
          <w:szCs w:val="23"/>
        </w:rPr>
      </w:pPr>
      <w:r w:rsidRPr="00106CF3">
        <w:rPr>
          <w:rFonts w:ascii="Arial" w:hAnsi="Arial" w:cs="Arial"/>
          <w:sz w:val="23"/>
          <w:szCs w:val="23"/>
        </w:rPr>
        <w:t xml:space="preserve">El 15 de diciembre del 2015 se publicó en el Periódico Oficial del Estado, el decreto 235 por el que se expidió la Ley de Transparencia y Acceso a la Información Pública del Estado de Tabasco. </w:t>
      </w:r>
    </w:p>
    <w:p w14:paraId="5FF925CD" w14:textId="77777777" w:rsidR="000A5AF1" w:rsidRPr="00106CF3" w:rsidRDefault="000A5AF1" w:rsidP="008B14C2">
      <w:pPr>
        <w:pStyle w:val="Ttulo2"/>
        <w:rPr>
          <w:sz w:val="23"/>
          <w:szCs w:val="23"/>
        </w:rPr>
      </w:pPr>
      <w:r w:rsidRPr="00106CF3">
        <w:rPr>
          <w:sz w:val="23"/>
          <w:szCs w:val="23"/>
        </w:rPr>
        <w:t>Ley de Protección de Datos Personales</w:t>
      </w:r>
    </w:p>
    <w:p w14:paraId="742C051B" w14:textId="7754500B" w:rsidR="000A5AF1" w:rsidRPr="00106CF3" w:rsidRDefault="000A5AF1" w:rsidP="003933E6">
      <w:pPr>
        <w:rPr>
          <w:rFonts w:ascii="Arial" w:hAnsi="Arial" w:cs="Arial"/>
          <w:sz w:val="23"/>
          <w:szCs w:val="23"/>
        </w:rPr>
      </w:pPr>
      <w:r w:rsidRPr="00106CF3">
        <w:rPr>
          <w:rFonts w:ascii="Arial" w:hAnsi="Arial" w:cs="Arial"/>
          <w:sz w:val="23"/>
          <w:szCs w:val="23"/>
        </w:rPr>
        <w:t>El 9 de septiembre de 2017 se publicó en el Periódico Oficial del Estado, el decreto 110 por el que se expidió la Ley de Protección de Datos Personales en posesión de sujetos obligados del Estado de Tabasco.</w:t>
      </w:r>
    </w:p>
    <w:p w14:paraId="788FA1D1" w14:textId="06538E56" w:rsidR="00956161" w:rsidRPr="00106CF3" w:rsidRDefault="00956161" w:rsidP="00956161">
      <w:pPr>
        <w:pStyle w:val="Ttulo2"/>
        <w:rPr>
          <w:sz w:val="23"/>
          <w:szCs w:val="23"/>
        </w:rPr>
      </w:pPr>
      <w:r w:rsidRPr="00106CF3">
        <w:rPr>
          <w:sz w:val="23"/>
          <w:szCs w:val="23"/>
        </w:rPr>
        <w:t>Ley General de Archivos</w:t>
      </w:r>
    </w:p>
    <w:p w14:paraId="4E881F4E" w14:textId="6E4DFE29" w:rsidR="00956161" w:rsidRPr="00106CF3" w:rsidRDefault="00956161" w:rsidP="003933E6">
      <w:pPr>
        <w:rPr>
          <w:rFonts w:ascii="Arial" w:hAnsi="Arial" w:cs="Arial"/>
          <w:sz w:val="23"/>
          <w:szCs w:val="23"/>
        </w:rPr>
      </w:pPr>
      <w:r w:rsidRPr="00106CF3">
        <w:rPr>
          <w:rFonts w:ascii="Arial" w:hAnsi="Arial" w:cs="Arial"/>
          <w:sz w:val="23"/>
          <w:szCs w:val="23"/>
        </w:rPr>
        <w:t>El 15 de junio de dos 2018, se publicó en el Diario Oficial de la Federación el decreto por el que se expidió la Ley General de Archivos, misma que de conformidad con su artículo primero transitorio, entró en vigor a partir del 15 de junio del año 2019.</w:t>
      </w:r>
    </w:p>
    <w:p w14:paraId="1B20992C" w14:textId="3504CD28" w:rsidR="00956161" w:rsidRPr="00106CF3" w:rsidRDefault="00956161" w:rsidP="00956161">
      <w:pPr>
        <w:pStyle w:val="Ttulo2"/>
        <w:rPr>
          <w:sz w:val="23"/>
          <w:szCs w:val="23"/>
        </w:rPr>
      </w:pPr>
      <w:r w:rsidRPr="00106CF3">
        <w:rPr>
          <w:sz w:val="23"/>
          <w:szCs w:val="23"/>
        </w:rPr>
        <w:t>Ley de Archivos</w:t>
      </w:r>
    </w:p>
    <w:p w14:paraId="411C4C9A" w14:textId="2BAE5DC8" w:rsidR="00956161" w:rsidRPr="00106CF3" w:rsidRDefault="00956161" w:rsidP="003933E6">
      <w:pPr>
        <w:rPr>
          <w:rFonts w:ascii="Arial" w:hAnsi="Arial" w:cs="Arial"/>
          <w:sz w:val="23"/>
          <w:szCs w:val="23"/>
        </w:rPr>
      </w:pPr>
      <w:r w:rsidRPr="00106CF3">
        <w:rPr>
          <w:rFonts w:ascii="Arial" w:hAnsi="Arial" w:cs="Arial"/>
          <w:sz w:val="23"/>
          <w:szCs w:val="23"/>
        </w:rPr>
        <w:t>El 15 de julio de 2020, se publicó el decreto 205 en el Suplemento “C” al Periódico Oficial del Estado número 8124 por el que se expidió la Ley de Archivos, misma que de conformidad con su artículo primero transitorio, entró en vigor a partir del 1 de enero de 2021.</w:t>
      </w:r>
    </w:p>
    <w:p w14:paraId="088448EF" w14:textId="667FEAE9" w:rsidR="00CB229F" w:rsidRPr="00106CF3" w:rsidRDefault="00CB229F" w:rsidP="008B14C2">
      <w:pPr>
        <w:pStyle w:val="Ttulo2"/>
        <w:rPr>
          <w:sz w:val="23"/>
          <w:szCs w:val="23"/>
        </w:rPr>
      </w:pPr>
      <w:r w:rsidRPr="00106CF3">
        <w:rPr>
          <w:sz w:val="23"/>
          <w:szCs w:val="23"/>
        </w:rPr>
        <w:t>Sistema Institucional de Archivo</w:t>
      </w:r>
    </w:p>
    <w:p w14:paraId="11EF10D0" w14:textId="22309FAB" w:rsidR="008B119E" w:rsidRDefault="008B119E" w:rsidP="008B119E">
      <w:pPr>
        <w:rPr>
          <w:rFonts w:ascii="Arial" w:hAnsi="Arial" w:cs="Arial"/>
          <w:sz w:val="23"/>
          <w:szCs w:val="23"/>
        </w:rPr>
      </w:pPr>
      <w:r w:rsidRPr="00106CF3">
        <w:rPr>
          <w:rFonts w:ascii="Arial" w:hAnsi="Arial" w:cs="Arial"/>
          <w:sz w:val="23"/>
          <w:szCs w:val="23"/>
        </w:rPr>
        <w:t>El 15 de septiembre de 2022, mediante acuerdo CE/2022/026, el Consejo Estatal implementó el Sistema Institucional de Archivos del Instituto.</w:t>
      </w:r>
    </w:p>
    <w:p w14:paraId="3E6A2090" w14:textId="77777777" w:rsidR="002F0A00" w:rsidRPr="00106CF3" w:rsidRDefault="002F0A00" w:rsidP="008B119E">
      <w:pPr>
        <w:rPr>
          <w:rFonts w:ascii="Arial" w:hAnsi="Arial" w:cs="Arial"/>
          <w:sz w:val="23"/>
          <w:szCs w:val="23"/>
        </w:rPr>
      </w:pPr>
    </w:p>
    <w:p w14:paraId="19D2F319" w14:textId="15180022" w:rsidR="0039300B" w:rsidRPr="00106CF3" w:rsidRDefault="0039300B" w:rsidP="00D63101">
      <w:pPr>
        <w:pStyle w:val="Ttulo2"/>
        <w:rPr>
          <w:sz w:val="23"/>
          <w:szCs w:val="23"/>
        </w:rPr>
      </w:pPr>
      <w:r w:rsidRPr="00106CF3">
        <w:rPr>
          <w:sz w:val="23"/>
          <w:szCs w:val="23"/>
        </w:rPr>
        <w:t>Reglamento Interior del Instituto</w:t>
      </w:r>
    </w:p>
    <w:p w14:paraId="54C9E7C6" w14:textId="65746B27" w:rsidR="0039300B" w:rsidRDefault="00297827" w:rsidP="008B119E">
      <w:pPr>
        <w:rPr>
          <w:rFonts w:ascii="Arial" w:hAnsi="Arial" w:cs="Arial"/>
          <w:sz w:val="23"/>
          <w:szCs w:val="23"/>
        </w:rPr>
      </w:pPr>
      <w:r w:rsidRPr="00106CF3">
        <w:rPr>
          <w:rFonts w:ascii="Arial" w:hAnsi="Arial" w:cs="Arial"/>
          <w:sz w:val="23"/>
          <w:szCs w:val="23"/>
        </w:rPr>
        <w:t>El 5 de octubre de 2023, el Consejo Estatal aprobó el acuerdo CE/2023/029 y con ello modificó la estructura orgánica y emitió el Reglamento Interior del propio Instituto.</w:t>
      </w:r>
    </w:p>
    <w:p w14:paraId="3E3FA17E" w14:textId="77777777" w:rsidR="002F0A00" w:rsidRPr="00106CF3" w:rsidRDefault="002F0A00" w:rsidP="008B119E">
      <w:pPr>
        <w:rPr>
          <w:rFonts w:ascii="Arial" w:hAnsi="Arial" w:cs="Arial"/>
          <w:sz w:val="23"/>
          <w:szCs w:val="23"/>
        </w:rPr>
      </w:pPr>
    </w:p>
    <w:p w14:paraId="57CCE2A1" w14:textId="77777777" w:rsidR="000A5AF1" w:rsidRPr="00106CF3" w:rsidRDefault="000A5AF1" w:rsidP="00781FA8">
      <w:pPr>
        <w:pStyle w:val="Ttulo1"/>
        <w:rPr>
          <w:sz w:val="23"/>
          <w:szCs w:val="23"/>
        </w:rPr>
      </w:pPr>
      <w:r w:rsidRPr="00106CF3">
        <w:rPr>
          <w:sz w:val="23"/>
          <w:szCs w:val="23"/>
        </w:rPr>
        <w:t>Considerando</w:t>
      </w:r>
    </w:p>
    <w:p w14:paraId="1AFF15AD" w14:textId="615C2ACF" w:rsidR="000A5AF1" w:rsidRPr="00106CF3" w:rsidRDefault="000A5AF1" w:rsidP="008B14C2">
      <w:pPr>
        <w:pStyle w:val="Ttulo2"/>
        <w:rPr>
          <w:sz w:val="23"/>
          <w:szCs w:val="23"/>
        </w:rPr>
      </w:pPr>
      <w:r w:rsidRPr="00106CF3">
        <w:rPr>
          <w:sz w:val="23"/>
          <w:szCs w:val="23"/>
        </w:rPr>
        <w:t xml:space="preserve">Fines del Instituto </w:t>
      </w:r>
    </w:p>
    <w:p w14:paraId="46EF5C5F" w14:textId="77777777" w:rsidR="000A5AF1" w:rsidRPr="00106CF3" w:rsidRDefault="000A5AF1" w:rsidP="003933E6">
      <w:pPr>
        <w:rPr>
          <w:rFonts w:ascii="Arial" w:hAnsi="Arial" w:cs="Arial"/>
          <w:sz w:val="23"/>
          <w:szCs w:val="23"/>
        </w:rPr>
      </w:pPr>
      <w:r w:rsidRPr="00106CF3">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7B79023" w14:textId="3DE57405" w:rsidR="000A5AF1" w:rsidRDefault="000A5AF1" w:rsidP="003933E6">
      <w:pPr>
        <w:rPr>
          <w:rFonts w:ascii="Arial" w:hAnsi="Arial" w:cs="Arial"/>
          <w:sz w:val="23"/>
          <w:szCs w:val="23"/>
        </w:rPr>
      </w:pPr>
      <w:r w:rsidRPr="00106CF3">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6A0AED2" w14:textId="77777777" w:rsidR="002F0A00" w:rsidRPr="00106CF3" w:rsidRDefault="002F0A00" w:rsidP="003933E6">
      <w:pPr>
        <w:rPr>
          <w:rFonts w:ascii="Arial" w:hAnsi="Arial" w:cs="Arial"/>
          <w:sz w:val="23"/>
          <w:szCs w:val="23"/>
        </w:rPr>
      </w:pPr>
    </w:p>
    <w:p w14:paraId="08217093" w14:textId="7FFB28E1" w:rsidR="000A5AF1" w:rsidRPr="00106CF3" w:rsidRDefault="000A5AF1" w:rsidP="008B14C2">
      <w:pPr>
        <w:pStyle w:val="Ttulo2"/>
        <w:rPr>
          <w:sz w:val="23"/>
          <w:szCs w:val="23"/>
        </w:rPr>
      </w:pPr>
      <w:r w:rsidRPr="00106CF3">
        <w:rPr>
          <w:sz w:val="23"/>
          <w:szCs w:val="23"/>
        </w:rPr>
        <w:t>Órgano Superior de Dirección del Instituto</w:t>
      </w:r>
    </w:p>
    <w:p w14:paraId="05E8736C" w14:textId="77777777" w:rsidR="000A5AF1" w:rsidRPr="00106CF3" w:rsidRDefault="000A5AF1" w:rsidP="003933E6">
      <w:pPr>
        <w:rPr>
          <w:rFonts w:ascii="Arial" w:hAnsi="Arial" w:cs="Arial"/>
          <w:sz w:val="23"/>
          <w:szCs w:val="23"/>
        </w:rPr>
      </w:pPr>
      <w:r w:rsidRPr="00106CF3">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1A0BCAB" w14:textId="27E336C5" w:rsidR="000A5AF1" w:rsidRPr="00106CF3" w:rsidRDefault="000A5AF1" w:rsidP="008B14C2">
      <w:pPr>
        <w:pStyle w:val="Ttulo2"/>
        <w:rPr>
          <w:sz w:val="23"/>
          <w:szCs w:val="23"/>
        </w:rPr>
      </w:pPr>
      <w:r w:rsidRPr="00106CF3">
        <w:rPr>
          <w:sz w:val="23"/>
          <w:szCs w:val="23"/>
        </w:rPr>
        <w:t>Integración del Órgano de Dirección Superior</w:t>
      </w:r>
    </w:p>
    <w:p w14:paraId="4E72BC12" w14:textId="77777777" w:rsidR="000A5AF1" w:rsidRPr="00106CF3" w:rsidRDefault="000A5AF1" w:rsidP="003933E6">
      <w:pPr>
        <w:rPr>
          <w:rFonts w:ascii="Arial" w:hAnsi="Arial" w:cs="Arial"/>
          <w:sz w:val="23"/>
          <w:szCs w:val="23"/>
        </w:rPr>
      </w:pPr>
      <w:r w:rsidRPr="00106CF3">
        <w:rPr>
          <w:rFonts w:ascii="Arial" w:hAnsi="Arial" w:cs="Arial"/>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2A5D11D" w14:textId="7F1D8B98" w:rsidR="000A5AF1" w:rsidRPr="00106CF3" w:rsidRDefault="000A5AF1" w:rsidP="008B14C2">
      <w:pPr>
        <w:pStyle w:val="Ttulo2"/>
        <w:rPr>
          <w:sz w:val="23"/>
          <w:szCs w:val="23"/>
        </w:rPr>
      </w:pPr>
      <w:r w:rsidRPr="00106CF3">
        <w:rPr>
          <w:sz w:val="23"/>
          <w:szCs w:val="23"/>
        </w:rPr>
        <w:t xml:space="preserve">Competencia del Consejo Estatal </w:t>
      </w:r>
    </w:p>
    <w:p w14:paraId="7816F276" w14:textId="77777777" w:rsidR="000A5AF1" w:rsidRPr="00106CF3" w:rsidRDefault="000A5AF1" w:rsidP="003933E6">
      <w:pPr>
        <w:rPr>
          <w:rFonts w:ascii="Arial" w:hAnsi="Arial" w:cs="Arial"/>
          <w:sz w:val="23"/>
          <w:szCs w:val="23"/>
        </w:rPr>
      </w:pPr>
      <w:r w:rsidRPr="00106CF3">
        <w:rPr>
          <w:rFonts w:ascii="Arial" w:hAnsi="Arial" w:cs="Arial"/>
          <w:sz w:val="23"/>
          <w:szCs w:val="23"/>
        </w:rPr>
        <w:t>Que, de conformidad con el artículo 115, numeral 1, fracción XXXVIII de la Ley Electoral, el Consejo Estatal es competente para aprobar y expedir los reglamentos internos necesarios, para el debido ejercicio de las facultades y atribuciones del Instituto. Asimismo, en términos de los artículos 73 y 140 de la Ley Electoral, los sujetos obligados, entre ellos, el órgano electoral, deberá adoptar los procedimientos adecuados para recibir y responder las solicitudes de acceso, rectificación, corrección y oposición al tratamiento de datos, en los casos que sea procedente, y, en general, establecerán la forma y términos en que se dará trámite interno a las solicitudes en materia de acceso a la información.</w:t>
      </w:r>
    </w:p>
    <w:p w14:paraId="236080CB" w14:textId="0C1C35D2" w:rsidR="000A5AF1" w:rsidRDefault="000A5AF1" w:rsidP="003933E6">
      <w:pPr>
        <w:rPr>
          <w:rFonts w:ascii="Arial" w:hAnsi="Arial" w:cs="Arial"/>
          <w:sz w:val="23"/>
          <w:szCs w:val="23"/>
        </w:rPr>
      </w:pPr>
      <w:r w:rsidRPr="00106CF3">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1497C93" w14:textId="77777777" w:rsidR="002F0A00" w:rsidRPr="00106CF3" w:rsidRDefault="002F0A00" w:rsidP="003933E6">
      <w:pPr>
        <w:rPr>
          <w:rFonts w:ascii="Arial" w:hAnsi="Arial" w:cs="Arial"/>
          <w:sz w:val="23"/>
          <w:szCs w:val="23"/>
        </w:rPr>
      </w:pPr>
    </w:p>
    <w:p w14:paraId="4839C330" w14:textId="77777777" w:rsidR="000A5AF1" w:rsidRPr="00106CF3" w:rsidRDefault="000A5AF1" w:rsidP="008B14C2">
      <w:pPr>
        <w:pStyle w:val="Ttulo2"/>
        <w:rPr>
          <w:sz w:val="23"/>
          <w:szCs w:val="23"/>
        </w:rPr>
      </w:pPr>
      <w:r w:rsidRPr="00106CF3">
        <w:rPr>
          <w:sz w:val="23"/>
          <w:szCs w:val="23"/>
        </w:rPr>
        <w:t>Derecho Constitucional de acceso a la información pública</w:t>
      </w:r>
    </w:p>
    <w:p w14:paraId="6B01E14D" w14:textId="77777777" w:rsidR="000A5AF1" w:rsidRPr="00106CF3" w:rsidRDefault="000A5AF1" w:rsidP="003933E6">
      <w:pPr>
        <w:rPr>
          <w:rFonts w:ascii="Arial" w:hAnsi="Arial" w:cs="Arial"/>
          <w:sz w:val="23"/>
          <w:szCs w:val="23"/>
        </w:rPr>
      </w:pPr>
      <w:r w:rsidRPr="00106CF3">
        <w:rPr>
          <w:rFonts w:ascii="Arial" w:hAnsi="Arial" w:cs="Arial"/>
          <w:sz w:val="23"/>
          <w:szCs w:val="23"/>
        </w:rPr>
        <w:t xml:space="preserve">Que, el artículo 6 apartado “A” fracción I de la Constitución Federal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Asimismo, señala que, en la interpretación de este derecho deberá prevalecer el principio de máxima publicidad. </w:t>
      </w:r>
    </w:p>
    <w:p w14:paraId="422D3125" w14:textId="2B8146DF" w:rsidR="000A5AF1" w:rsidRPr="00106CF3" w:rsidRDefault="000A5AF1" w:rsidP="003933E6">
      <w:pPr>
        <w:rPr>
          <w:rFonts w:ascii="Arial" w:hAnsi="Arial" w:cs="Arial"/>
          <w:sz w:val="23"/>
          <w:szCs w:val="23"/>
        </w:rPr>
      </w:pPr>
      <w:r w:rsidRPr="00106CF3">
        <w:rPr>
          <w:rFonts w:ascii="Arial" w:hAnsi="Arial" w:cs="Arial"/>
          <w:sz w:val="23"/>
          <w:szCs w:val="23"/>
        </w:rPr>
        <w:t>Además, la fracción II del artículo mencionado establece que la información que se refiera a la vida privada y los datos personales será protegida en los términos y con las excepciones que fijen las leyes.</w:t>
      </w:r>
    </w:p>
    <w:p w14:paraId="5AC3411D" w14:textId="77777777" w:rsidR="000A5AF1" w:rsidRPr="00106CF3" w:rsidRDefault="000A5AF1" w:rsidP="008B14C2">
      <w:pPr>
        <w:pStyle w:val="Ttulo2"/>
        <w:rPr>
          <w:sz w:val="23"/>
          <w:szCs w:val="23"/>
        </w:rPr>
      </w:pPr>
      <w:r w:rsidRPr="00106CF3">
        <w:rPr>
          <w:sz w:val="23"/>
          <w:szCs w:val="23"/>
        </w:rPr>
        <w:t>Derecho humano de acceso a la información pública</w:t>
      </w:r>
    </w:p>
    <w:p w14:paraId="0FA5EC3A" w14:textId="77777777" w:rsidR="000A5AF1" w:rsidRPr="00106CF3" w:rsidRDefault="000A5AF1" w:rsidP="003933E6">
      <w:pPr>
        <w:rPr>
          <w:rFonts w:ascii="Arial" w:hAnsi="Arial" w:cs="Arial"/>
          <w:sz w:val="23"/>
          <w:szCs w:val="23"/>
        </w:rPr>
      </w:pPr>
      <w:r w:rsidRPr="00106CF3">
        <w:rPr>
          <w:rFonts w:ascii="Arial" w:hAnsi="Arial" w:cs="Arial"/>
          <w:sz w:val="23"/>
          <w:szCs w:val="23"/>
        </w:rPr>
        <w:t>Que, de acuerdo con el artículo 4 de la Ley de Transparencia, el derecho humano de acceso a la información comprende solicitar, investigar, difundir, buscar y recibir información. Asimismo, todos los sujetos obligados, entre ellos el Instituto Electoral, están sometidos al principio de máxima publicidad de sus actos y obligados a respetar el derecho humano de acceso a la información.</w:t>
      </w:r>
    </w:p>
    <w:p w14:paraId="6B6415C1" w14:textId="77777777" w:rsidR="000A5AF1" w:rsidRPr="00106CF3" w:rsidRDefault="000A5AF1" w:rsidP="003933E6">
      <w:pPr>
        <w:rPr>
          <w:rFonts w:ascii="Arial" w:hAnsi="Arial" w:cs="Arial"/>
          <w:sz w:val="23"/>
          <w:szCs w:val="23"/>
        </w:rPr>
      </w:pPr>
      <w:r w:rsidRPr="00106CF3">
        <w:rPr>
          <w:rFonts w:ascii="Arial" w:hAnsi="Arial" w:cs="Arial"/>
          <w:sz w:val="23"/>
          <w:szCs w:val="23"/>
        </w:rPr>
        <w:t>Además, toda la información generada, obtenida, adquirida, transformada o en posesión del Instituto Electoral es pública y accesible a cualquier persona en los términos y condiciones que se establezcan en la Ley de Transparencia, en los tratados internacionales de los que el estado mexicano sea parte, la Ley General de Transparencia y la normatividad aplicable en sus respectivas competencias; sólo podrá ser clasificada excepcionalmente como reservada temporalmente por razones de interés público y seguridad nacional, en los términos dispuestos por la propia ley.</w:t>
      </w:r>
    </w:p>
    <w:p w14:paraId="79A37F27" w14:textId="77777777" w:rsidR="000A5AF1" w:rsidRPr="00106CF3" w:rsidRDefault="000A5AF1" w:rsidP="008B14C2">
      <w:pPr>
        <w:pStyle w:val="Ttulo2"/>
        <w:rPr>
          <w:sz w:val="23"/>
          <w:szCs w:val="23"/>
        </w:rPr>
      </w:pPr>
      <w:r w:rsidRPr="00106CF3">
        <w:rPr>
          <w:sz w:val="23"/>
          <w:szCs w:val="23"/>
        </w:rPr>
        <w:t>Principio de máxima publicidad y transparencia</w:t>
      </w:r>
    </w:p>
    <w:p w14:paraId="1051E6B1" w14:textId="77777777" w:rsidR="000A5AF1" w:rsidRPr="00106CF3" w:rsidRDefault="000A5AF1" w:rsidP="003933E6">
      <w:pPr>
        <w:rPr>
          <w:rFonts w:ascii="Arial" w:hAnsi="Arial" w:cs="Arial"/>
          <w:sz w:val="23"/>
          <w:szCs w:val="23"/>
        </w:rPr>
      </w:pPr>
      <w:r w:rsidRPr="00106CF3">
        <w:rPr>
          <w:rFonts w:ascii="Arial" w:hAnsi="Arial" w:cs="Arial"/>
          <w:sz w:val="23"/>
          <w:szCs w:val="23"/>
        </w:rPr>
        <w:t>Que, el artículo 3, numeral 3 de la Ley Electoral, establece que las autoridades electorales, para el debido cumplimiento de sus funciones, se regirán por los principios de certeza, legalidad, independencia, inclusión, imparcialidad, máxima publicidad, transparencia, rendición de cuentas, objetividad, paridad, interculturalidad, y las realizarán con perspectiva de género y enfoque de derechos humanos.</w:t>
      </w:r>
    </w:p>
    <w:p w14:paraId="310BE0F4" w14:textId="5FC45CE5" w:rsidR="000A5AF1" w:rsidRPr="00106CF3" w:rsidRDefault="000A5AF1" w:rsidP="003933E6">
      <w:pPr>
        <w:rPr>
          <w:rFonts w:ascii="Arial" w:hAnsi="Arial" w:cs="Arial"/>
          <w:sz w:val="23"/>
          <w:szCs w:val="23"/>
        </w:rPr>
      </w:pPr>
      <w:r w:rsidRPr="00106CF3">
        <w:rPr>
          <w:rFonts w:ascii="Arial" w:hAnsi="Arial" w:cs="Arial"/>
          <w:sz w:val="23"/>
          <w:szCs w:val="23"/>
        </w:rPr>
        <w:t>Asimismo, de acuerdo con el artículo 14 de la Ley de Transparencia, en la generación, publicación y entrega de información se deberá garantizar que ésta sea accesible, confiable, verificable, veraz, oportuna y atenderá las necesidades del derecho de acceso a la información de toda persona.</w:t>
      </w:r>
    </w:p>
    <w:p w14:paraId="103BC8B4" w14:textId="77777777" w:rsidR="00FF4329" w:rsidRPr="00106CF3" w:rsidRDefault="00FF4329" w:rsidP="00FF4329">
      <w:pPr>
        <w:pStyle w:val="Ttulo2"/>
        <w:rPr>
          <w:sz w:val="23"/>
          <w:szCs w:val="23"/>
        </w:rPr>
      </w:pPr>
      <w:r w:rsidRPr="00106CF3">
        <w:rPr>
          <w:sz w:val="23"/>
          <w:szCs w:val="23"/>
        </w:rPr>
        <w:t>Sujeto obligado</w:t>
      </w:r>
    </w:p>
    <w:p w14:paraId="608F65E0" w14:textId="77777777" w:rsidR="00FF4329" w:rsidRPr="00106CF3" w:rsidRDefault="00FF4329" w:rsidP="00FF4329">
      <w:pPr>
        <w:rPr>
          <w:rFonts w:ascii="Arial" w:hAnsi="Arial" w:cs="Arial"/>
          <w:sz w:val="23"/>
          <w:szCs w:val="23"/>
        </w:rPr>
      </w:pPr>
      <w:r w:rsidRPr="00106CF3">
        <w:rPr>
          <w:rFonts w:ascii="Arial" w:hAnsi="Arial" w:cs="Arial"/>
          <w:sz w:val="23"/>
          <w:szCs w:val="23"/>
        </w:rPr>
        <w:t>Que, el artículo 4 fracción LI de la Ley de Archivos establece que son sujetos obligados, cualquier autoridad, entidad, órgano u organismo de los Poderes Legislativo, Ejecutivo y Judicial, órganos autónomos, partidos políticos, fideicomisos y fondos públicos del Estado y sus municipios; así como cualquier persona física, moral o sindicato que reciba y ejerza recursos públicos o realice actos de autoridad en el ámbito estatal y municipal, así como a las personas físicas o morales que cuenten con archivos privados de interés público.</w:t>
      </w:r>
    </w:p>
    <w:p w14:paraId="78441CF6" w14:textId="77777777" w:rsidR="00FF4329" w:rsidRPr="00106CF3" w:rsidRDefault="00FF4329" w:rsidP="00FF4329">
      <w:pPr>
        <w:rPr>
          <w:rFonts w:ascii="Arial" w:hAnsi="Arial" w:cs="Arial"/>
          <w:sz w:val="23"/>
          <w:szCs w:val="23"/>
        </w:rPr>
      </w:pPr>
      <w:r w:rsidRPr="00106CF3">
        <w:rPr>
          <w:rFonts w:ascii="Arial" w:hAnsi="Arial" w:cs="Arial"/>
          <w:sz w:val="23"/>
          <w:szCs w:val="23"/>
        </w:rPr>
        <w:t>Conforme a esta disposición, el Instituto tiene la calidad de sujeto obligado, en virtud de que se trata de un órgano de naturaleza constitucional autónoma, previsto por la Constitución Local.</w:t>
      </w:r>
    </w:p>
    <w:p w14:paraId="1A44CCD0" w14:textId="3C74DB76" w:rsidR="00FF4329" w:rsidRPr="00106CF3" w:rsidRDefault="00FF4329" w:rsidP="00FF4329">
      <w:pPr>
        <w:pStyle w:val="Ttulo2"/>
        <w:rPr>
          <w:sz w:val="23"/>
          <w:szCs w:val="23"/>
        </w:rPr>
      </w:pPr>
      <w:r w:rsidRPr="00106CF3">
        <w:rPr>
          <w:sz w:val="23"/>
          <w:szCs w:val="23"/>
        </w:rPr>
        <w:t xml:space="preserve">Principios aplicables en materia de archivo. </w:t>
      </w:r>
    </w:p>
    <w:p w14:paraId="1451CAFA" w14:textId="1A6470B7" w:rsidR="00FF4329" w:rsidRPr="00106CF3" w:rsidRDefault="00FF4329" w:rsidP="00FF4329">
      <w:pPr>
        <w:rPr>
          <w:rFonts w:ascii="Arial" w:hAnsi="Arial" w:cs="Arial"/>
          <w:sz w:val="23"/>
          <w:szCs w:val="23"/>
        </w:rPr>
      </w:pPr>
      <w:r w:rsidRPr="00106CF3">
        <w:rPr>
          <w:rFonts w:ascii="Arial" w:hAnsi="Arial" w:cs="Arial"/>
          <w:sz w:val="23"/>
          <w:szCs w:val="23"/>
        </w:rPr>
        <w:t>Que, el artículo 5 de la Ley de Archivos, establece que los sujetos obligados en materia de conservación de archivos y gestión documental, se regirán por los siguientes principios:</w:t>
      </w:r>
    </w:p>
    <w:p w14:paraId="20E484CE" w14:textId="4B5489D4" w:rsidR="00FF4329" w:rsidRPr="00106CF3" w:rsidRDefault="00FF4329" w:rsidP="00FF4329">
      <w:pPr>
        <w:pStyle w:val="Prrafodelista"/>
        <w:numPr>
          <w:ilvl w:val="0"/>
          <w:numId w:val="6"/>
        </w:numPr>
        <w:ind w:left="510" w:hanging="510"/>
        <w:contextualSpacing w:val="0"/>
        <w:rPr>
          <w:rFonts w:ascii="Arial" w:hAnsi="Arial" w:cs="Arial"/>
          <w:sz w:val="23"/>
          <w:szCs w:val="23"/>
        </w:rPr>
      </w:pPr>
      <w:r w:rsidRPr="00106CF3">
        <w:rPr>
          <w:rFonts w:ascii="Arial" w:hAnsi="Arial" w:cs="Arial"/>
          <w:b/>
          <w:sz w:val="23"/>
          <w:szCs w:val="23"/>
        </w:rPr>
        <w:t>Conservación:</w:t>
      </w:r>
      <w:r w:rsidRPr="00106CF3">
        <w:rPr>
          <w:rFonts w:ascii="Arial" w:hAnsi="Arial" w:cs="Arial"/>
          <w:sz w:val="23"/>
          <w:szCs w:val="23"/>
        </w:rPr>
        <w:t xml:space="preserve"> adoptar las medidas de índole técnica, administrativa, ambiental y tecnológica, para la adecuada preservación de los documentos de archivo;</w:t>
      </w:r>
    </w:p>
    <w:p w14:paraId="79C79E36" w14:textId="41C2EBDC" w:rsidR="00FF4329" w:rsidRPr="00106CF3" w:rsidRDefault="00FF4329" w:rsidP="00FF4329">
      <w:pPr>
        <w:pStyle w:val="Prrafodelista"/>
        <w:numPr>
          <w:ilvl w:val="0"/>
          <w:numId w:val="6"/>
        </w:numPr>
        <w:ind w:left="510" w:hanging="510"/>
        <w:contextualSpacing w:val="0"/>
        <w:rPr>
          <w:rFonts w:ascii="Arial" w:hAnsi="Arial" w:cs="Arial"/>
          <w:sz w:val="23"/>
          <w:szCs w:val="23"/>
        </w:rPr>
      </w:pPr>
      <w:r w:rsidRPr="00106CF3">
        <w:rPr>
          <w:rFonts w:ascii="Arial" w:hAnsi="Arial" w:cs="Arial"/>
          <w:b/>
          <w:sz w:val="23"/>
          <w:szCs w:val="23"/>
        </w:rPr>
        <w:t xml:space="preserve">Procedencia: </w:t>
      </w:r>
      <w:r w:rsidRPr="00106CF3">
        <w:rPr>
          <w:rFonts w:ascii="Arial" w:hAnsi="Arial" w:cs="Arial"/>
          <w:sz w:val="23"/>
          <w:szCs w:val="23"/>
        </w:rPr>
        <w:t>conservar el origen de cada fondo documental producido por los sujetos obligados, para distinguirlo de otros fondos semejantes y respetar el orden interno de las series documentales en el desarrollo de su actividad institucional;</w:t>
      </w:r>
    </w:p>
    <w:p w14:paraId="7A0D737A" w14:textId="51FAD394" w:rsidR="00FF4329" w:rsidRPr="00106CF3" w:rsidRDefault="00FF4329" w:rsidP="00FF4329">
      <w:pPr>
        <w:pStyle w:val="Prrafodelista"/>
        <w:numPr>
          <w:ilvl w:val="0"/>
          <w:numId w:val="6"/>
        </w:numPr>
        <w:ind w:left="510" w:hanging="510"/>
        <w:contextualSpacing w:val="0"/>
        <w:rPr>
          <w:rFonts w:ascii="Arial" w:hAnsi="Arial" w:cs="Arial"/>
          <w:sz w:val="23"/>
          <w:szCs w:val="23"/>
        </w:rPr>
      </w:pPr>
      <w:r w:rsidRPr="00106CF3">
        <w:rPr>
          <w:rFonts w:ascii="Arial" w:hAnsi="Arial" w:cs="Arial"/>
          <w:b/>
          <w:sz w:val="23"/>
          <w:szCs w:val="23"/>
        </w:rPr>
        <w:t xml:space="preserve">Integridad: </w:t>
      </w:r>
      <w:r w:rsidRPr="00106CF3">
        <w:rPr>
          <w:rFonts w:ascii="Arial" w:hAnsi="Arial" w:cs="Arial"/>
          <w:sz w:val="23"/>
          <w:szCs w:val="23"/>
        </w:rPr>
        <w:t>garantizar que los documentos de archivo sean completos y veraces para reflejar con exactitud la información contenida;</w:t>
      </w:r>
    </w:p>
    <w:p w14:paraId="711404E1" w14:textId="6576573F" w:rsidR="00FF4329" w:rsidRPr="00106CF3" w:rsidRDefault="00FF4329" w:rsidP="00FF4329">
      <w:pPr>
        <w:pStyle w:val="Prrafodelista"/>
        <w:numPr>
          <w:ilvl w:val="0"/>
          <w:numId w:val="6"/>
        </w:numPr>
        <w:ind w:left="510" w:hanging="510"/>
        <w:contextualSpacing w:val="0"/>
        <w:rPr>
          <w:rFonts w:ascii="Arial" w:hAnsi="Arial" w:cs="Arial"/>
          <w:sz w:val="23"/>
          <w:szCs w:val="23"/>
        </w:rPr>
      </w:pPr>
      <w:r w:rsidRPr="00106CF3">
        <w:rPr>
          <w:rFonts w:ascii="Arial" w:hAnsi="Arial" w:cs="Arial"/>
          <w:b/>
          <w:sz w:val="23"/>
          <w:szCs w:val="23"/>
        </w:rPr>
        <w:t>Disponibilidad:</w:t>
      </w:r>
      <w:r w:rsidRPr="00106CF3">
        <w:rPr>
          <w:rFonts w:ascii="Arial" w:hAnsi="Arial" w:cs="Arial"/>
          <w:sz w:val="23"/>
          <w:szCs w:val="23"/>
        </w:rPr>
        <w:t xml:space="preserve"> adoptar medidas pertinentes para la localización expedita de los documentos de archivo; y</w:t>
      </w:r>
    </w:p>
    <w:p w14:paraId="2DFF654F" w14:textId="7984DC06" w:rsidR="00FF4329" w:rsidRPr="00106CF3" w:rsidRDefault="00FF4329" w:rsidP="00FF4329">
      <w:pPr>
        <w:pStyle w:val="Prrafodelista"/>
        <w:numPr>
          <w:ilvl w:val="0"/>
          <w:numId w:val="6"/>
        </w:numPr>
        <w:ind w:left="510" w:hanging="510"/>
        <w:contextualSpacing w:val="0"/>
        <w:rPr>
          <w:rFonts w:ascii="Arial" w:hAnsi="Arial" w:cs="Arial"/>
          <w:sz w:val="23"/>
          <w:szCs w:val="23"/>
        </w:rPr>
      </w:pPr>
      <w:r w:rsidRPr="00106CF3">
        <w:rPr>
          <w:rFonts w:ascii="Arial" w:hAnsi="Arial" w:cs="Arial"/>
          <w:b/>
          <w:sz w:val="23"/>
          <w:szCs w:val="23"/>
        </w:rPr>
        <w:t xml:space="preserve">Accesibilidad: </w:t>
      </w:r>
      <w:r w:rsidRPr="00106CF3">
        <w:rPr>
          <w:rFonts w:ascii="Arial" w:hAnsi="Arial" w:cs="Arial"/>
          <w:sz w:val="23"/>
          <w:szCs w:val="23"/>
        </w:rPr>
        <w:t>garantizar el acceso a la consulta de los archivos de acuerdo con esta ley y las disposiciones aplicables.</w:t>
      </w:r>
    </w:p>
    <w:p w14:paraId="17143881" w14:textId="5CD00B4F" w:rsidR="00FF4329" w:rsidRPr="00106CF3" w:rsidRDefault="00FF4329" w:rsidP="00FF4329">
      <w:pPr>
        <w:pStyle w:val="Ttulo2"/>
        <w:rPr>
          <w:sz w:val="23"/>
          <w:szCs w:val="23"/>
        </w:rPr>
      </w:pPr>
      <w:r w:rsidRPr="00106CF3">
        <w:rPr>
          <w:sz w:val="23"/>
          <w:szCs w:val="23"/>
        </w:rPr>
        <w:t>Documentos públicos</w:t>
      </w:r>
    </w:p>
    <w:p w14:paraId="3374ECB0" w14:textId="4F88062D" w:rsidR="00FF4329" w:rsidRPr="00106CF3" w:rsidRDefault="00FF4329" w:rsidP="00FF4329">
      <w:pPr>
        <w:rPr>
          <w:rFonts w:ascii="Arial" w:hAnsi="Arial" w:cs="Arial"/>
          <w:sz w:val="23"/>
          <w:szCs w:val="23"/>
        </w:rPr>
      </w:pPr>
      <w:r w:rsidRPr="00106CF3">
        <w:rPr>
          <w:rFonts w:ascii="Arial" w:hAnsi="Arial" w:cs="Arial"/>
          <w:sz w:val="23"/>
          <w:szCs w:val="23"/>
        </w:rPr>
        <w:t>Que, el artículo 6 de la Ley de Archivos establece que,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27A8FDDF" w14:textId="17C8014A" w:rsidR="00FF4329" w:rsidRPr="00106CF3" w:rsidRDefault="00FF4329" w:rsidP="00FF4329">
      <w:pPr>
        <w:rPr>
          <w:rFonts w:ascii="Arial" w:hAnsi="Arial" w:cs="Arial"/>
          <w:sz w:val="23"/>
          <w:szCs w:val="23"/>
        </w:rPr>
      </w:pPr>
      <w:r w:rsidRPr="00106CF3">
        <w:rPr>
          <w:rFonts w:ascii="Arial" w:hAnsi="Arial" w:cs="Arial"/>
          <w:sz w:val="23"/>
          <w:szCs w:val="23"/>
        </w:rPr>
        <w:t>Asimismo, los sujetos obligados del estado, entre ellos el Instituto, en el ámbito de su competencia, deberán garantizar la organización, conservación y preservación de los archivos con el objeto de respetar el derecho a la verdad y el acceso a la información contenida en los archivos, así como fomentar el conocimiento de su patrimonio documental.</w:t>
      </w:r>
    </w:p>
    <w:p w14:paraId="1494D94B" w14:textId="4A51793C" w:rsidR="00FF4329" w:rsidRPr="00106CF3" w:rsidRDefault="00FF4329" w:rsidP="00FF4329">
      <w:pPr>
        <w:rPr>
          <w:rFonts w:ascii="Arial" w:hAnsi="Arial" w:cs="Arial"/>
          <w:sz w:val="23"/>
          <w:szCs w:val="23"/>
        </w:rPr>
      </w:pPr>
      <w:r w:rsidRPr="00106CF3">
        <w:rPr>
          <w:rFonts w:ascii="Arial" w:hAnsi="Arial" w:cs="Arial"/>
          <w:sz w:val="23"/>
          <w:szCs w:val="23"/>
        </w:rPr>
        <w:t>Conforme al artículo 7 de la Ley en cita, los sujetos obligados deberán producir, registrar, organizar y conservar los documentos de archivo sobre todo acto que derive del ejercicio de sus facultades, competencias o funciones de acuerdo con lo establecido en las disposiciones correspondientes.</w:t>
      </w:r>
    </w:p>
    <w:p w14:paraId="120EF3F4" w14:textId="41030D5A" w:rsidR="00FF4329" w:rsidRPr="00106CF3" w:rsidRDefault="00FF4329" w:rsidP="00FF4329">
      <w:pPr>
        <w:pStyle w:val="Ttulo2"/>
        <w:rPr>
          <w:sz w:val="23"/>
          <w:szCs w:val="23"/>
        </w:rPr>
      </w:pPr>
      <w:r w:rsidRPr="00106CF3">
        <w:rPr>
          <w:sz w:val="23"/>
          <w:szCs w:val="23"/>
        </w:rPr>
        <w:t>Sistema Institucional de Archivos</w:t>
      </w:r>
    </w:p>
    <w:p w14:paraId="4AE18BC9" w14:textId="62A411FE" w:rsidR="00FF4329" w:rsidRPr="00106CF3" w:rsidRDefault="00FF4329" w:rsidP="00FF4329">
      <w:pPr>
        <w:rPr>
          <w:rFonts w:ascii="Arial" w:hAnsi="Arial" w:cs="Arial"/>
          <w:sz w:val="23"/>
          <w:szCs w:val="23"/>
        </w:rPr>
      </w:pPr>
      <w:r w:rsidRPr="00106CF3">
        <w:rPr>
          <w:rFonts w:ascii="Arial" w:hAnsi="Arial" w:cs="Arial"/>
          <w:sz w:val="23"/>
          <w:szCs w:val="23"/>
        </w:rPr>
        <w:t>Que, el artículo 19 de la Ley de Archivos, señala que el Sistema Institucional de Archivos es el conjunto de registros, procesos, procedimientos, criterios, estructuras, herramientas y funciones que desarrolla cada sujeto obligado y sustenta la actividad archivística, de acuerdo con los procesos de gestión documental.</w:t>
      </w:r>
    </w:p>
    <w:p w14:paraId="32A4C991" w14:textId="1AE4A6C7" w:rsidR="00FF4329" w:rsidRDefault="00FF4329" w:rsidP="00FF4329">
      <w:pPr>
        <w:rPr>
          <w:rFonts w:ascii="Arial" w:hAnsi="Arial" w:cs="Arial"/>
          <w:sz w:val="23"/>
          <w:szCs w:val="23"/>
        </w:rPr>
      </w:pPr>
      <w:r w:rsidRPr="00106CF3">
        <w:rPr>
          <w:rFonts w:ascii="Arial" w:hAnsi="Arial" w:cs="Arial"/>
          <w:sz w:val="23"/>
          <w:szCs w:val="23"/>
        </w:rPr>
        <w:t>Además, refiere que 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el Consejo Local y las disposiciones aplicables.</w:t>
      </w:r>
    </w:p>
    <w:p w14:paraId="32D5C7FE" w14:textId="655C1245" w:rsidR="00FF4329" w:rsidRPr="00106CF3" w:rsidRDefault="00FF4329" w:rsidP="00FF4329">
      <w:pPr>
        <w:pStyle w:val="Ttulo2"/>
        <w:rPr>
          <w:sz w:val="23"/>
          <w:szCs w:val="23"/>
        </w:rPr>
      </w:pPr>
      <w:r w:rsidRPr="00106CF3">
        <w:rPr>
          <w:sz w:val="23"/>
          <w:szCs w:val="23"/>
        </w:rPr>
        <w:t>Obligaciones del Instituto en materia de archivo</w:t>
      </w:r>
    </w:p>
    <w:p w14:paraId="32B36D2A" w14:textId="42996060" w:rsidR="00FF4329" w:rsidRPr="00106CF3" w:rsidRDefault="00FF4329" w:rsidP="00FF4329">
      <w:pPr>
        <w:rPr>
          <w:rFonts w:ascii="Arial" w:hAnsi="Arial" w:cs="Arial"/>
          <w:sz w:val="23"/>
          <w:szCs w:val="23"/>
        </w:rPr>
      </w:pPr>
      <w:r w:rsidRPr="00106CF3">
        <w:rPr>
          <w:rFonts w:ascii="Arial" w:hAnsi="Arial" w:cs="Arial"/>
          <w:sz w:val="23"/>
          <w:szCs w:val="23"/>
        </w:rPr>
        <w:t>Que, de acuerdo con los artículos 10 y 11 de la Ley de Archivos, cada sujeto obligado es responsable de organizar y conservar sus archivos; de la operación de su sistema institucional; del cumplimiento de lo dispuesto por la propia ley y las determinaciones que emita el Consejo Nacional y el Consejo Local, según corresponda; y deberán garantizar que no se sustraigan, dañen o eliminen documentos de archivo y la información a su cargo.</w:t>
      </w:r>
    </w:p>
    <w:p w14:paraId="36817CBE" w14:textId="63E5F453" w:rsidR="00FF4329" w:rsidRPr="00106CF3" w:rsidRDefault="00FF4329" w:rsidP="00FF4329">
      <w:pPr>
        <w:rPr>
          <w:rFonts w:ascii="Arial" w:hAnsi="Arial" w:cs="Arial"/>
          <w:sz w:val="23"/>
          <w:szCs w:val="23"/>
        </w:rPr>
      </w:pPr>
      <w:r w:rsidRPr="00106CF3">
        <w:rPr>
          <w:rFonts w:ascii="Arial" w:hAnsi="Arial" w:cs="Arial"/>
          <w:sz w:val="23"/>
          <w:szCs w:val="23"/>
        </w:rPr>
        <w:t>Asimismo, entre otras obligaciones, se deberá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que les sean aplicables; y, establecer un sistema institucional para la administración de sus archivos y llevar a cabo los procesos de gestión documental.</w:t>
      </w:r>
    </w:p>
    <w:p w14:paraId="07DB04B3" w14:textId="37E29056" w:rsidR="002D0921" w:rsidRPr="00106CF3" w:rsidRDefault="002D0921" w:rsidP="00FF4329">
      <w:pPr>
        <w:rPr>
          <w:rFonts w:ascii="Arial" w:hAnsi="Arial" w:cs="Arial"/>
          <w:sz w:val="23"/>
          <w:szCs w:val="23"/>
        </w:rPr>
      </w:pPr>
      <w:r w:rsidRPr="00106CF3">
        <w:rPr>
          <w:rFonts w:ascii="Arial" w:hAnsi="Arial" w:cs="Arial"/>
          <w:sz w:val="23"/>
          <w:szCs w:val="23"/>
        </w:rPr>
        <w:t>Implementación de procedimientos</w:t>
      </w:r>
    </w:p>
    <w:p w14:paraId="58B817C2" w14:textId="11FB74A0" w:rsidR="00512DFA" w:rsidRPr="00106CF3" w:rsidRDefault="002D0921" w:rsidP="00512DFA">
      <w:pPr>
        <w:rPr>
          <w:rFonts w:ascii="Arial" w:hAnsi="Arial" w:cs="Arial"/>
          <w:sz w:val="23"/>
          <w:szCs w:val="23"/>
        </w:rPr>
      </w:pPr>
      <w:r w:rsidRPr="00106CF3">
        <w:rPr>
          <w:rFonts w:ascii="Arial" w:hAnsi="Arial" w:cs="Arial"/>
          <w:sz w:val="23"/>
          <w:szCs w:val="23"/>
        </w:rPr>
        <w:t>Que, el artículo 58 de la Ley de Archivos establece que,</w:t>
      </w:r>
      <w:r w:rsidR="00512DFA" w:rsidRPr="00106CF3">
        <w:rPr>
          <w:sz w:val="23"/>
          <w:szCs w:val="23"/>
        </w:rPr>
        <w:t xml:space="preserve"> l</w:t>
      </w:r>
      <w:r w:rsidR="00512DFA" w:rsidRPr="00106CF3">
        <w:rPr>
          <w:rFonts w:ascii="Arial" w:hAnsi="Arial" w:cs="Arial"/>
          <w:sz w:val="23"/>
          <w:szCs w:val="23"/>
        </w:rPr>
        <w:t>os sujetos obligados deberán adoptar las medidas y procedimientos que garanticen la conservación de la información, independientemente del soporte documental en que se encuentre, observando al menos lo siguiente:</w:t>
      </w:r>
    </w:p>
    <w:p w14:paraId="6D8D3856" w14:textId="6EE8D10A" w:rsidR="00512DFA" w:rsidRPr="00106CF3" w:rsidRDefault="00512DFA" w:rsidP="00512DFA">
      <w:pPr>
        <w:pStyle w:val="Prrafodelista"/>
        <w:numPr>
          <w:ilvl w:val="0"/>
          <w:numId w:val="7"/>
        </w:numPr>
        <w:ind w:left="510" w:hanging="510"/>
        <w:contextualSpacing w:val="0"/>
        <w:rPr>
          <w:rFonts w:ascii="Arial" w:hAnsi="Arial" w:cs="Arial"/>
          <w:sz w:val="23"/>
          <w:szCs w:val="23"/>
        </w:rPr>
      </w:pPr>
      <w:r w:rsidRPr="00106CF3">
        <w:rPr>
          <w:rFonts w:ascii="Arial" w:hAnsi="Arial" w:cs="Arial"/>
          <w:sz w:val="23"/>
          <w:szCs w:val="23"/>
        </w:rPr>
        <w:t>Establecer un programa de seguridad de la información que garantice la continuidad de la operación, minimice los riesgos y maximice la eficiencia de los servicios; y</w:t>
      </w:r>
    </w:p>
    <w:p w14:paraId="09C815C7" w14:textId="28132A2F" w:rsidR="002D0921" w:rsidRDefault="00512DFA" w:rsidP="00512DFA">
      <w:pPr>
        <w:pStyle w:val="Prrafodelista"/>
        <w:numPr>
          <w:ilvl w:val="0"/>
          <w:numId w:val="7"/>
        </w:numPr>
        <w:ind w:left="510" w:hanging="510"/>
        <w:contextualSpacing w:val="0"/>
        <w:rPr>
          <w:rFonts w:ascii="Arial" w:hAnsi="Arial" w:cs="Arial"/>
          <w:sz w:val="23"/>
          <w:szCs w:val="23"/>
        </w:rPr>
      </w:pPr>
      <w:r w:rsidRPr="00106CF3">
        <w:rPr>
          <w:rFonts w:ascii="Arial" w:hAnsi="Arial" w:cs="Arial"/>
          <w:sz w:val="23"/>
          <w:szCs w:val="23"/>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7532EBC0" w14:textId="77777777" w:rsidR="000A5AF1" w:rsidRPr="00106CF3" w:rsidRDefault="000A5AF1" w:rsidP="008B14C2">
      <w:pPr>
        <w:pStyle w:val="Ttulo2"/>
        <w:rPr>
          <w:sz w:val="23"/>
          <w:szCs w:val="23"/>
        </w:rPr>
      </w:pPr>
      <w:r w:rsidRPr="00106CF3">
        <w:rPr>
          <w:sz w:val="23"/>
          <w:szCs w:val="23"/>
        </w:rPr>
        <w:t>Propuesta de Reglamento</w:t>
      </w:r>
    </w:p>
    <w:p w14:paraId="437CE33F" w14:textId="2DAB1630" w:rsidR="00B925A8" w:rsidRPr="00106CF3" w:rsidRDefault="000A5AF1" w:rsidP="00B925A8">
      <w:pPr>
        <w:rPr>
          <w:rFonts w:ascii="Arial" w:hAnsi="Arial" w:cs="Arial"/>
          <w:sz w:val="23"/>
          <w:szCs w:val="23"/>
        </w:rPr>
      </w:pPr>
      <w:r w:rsidRPr="00106CF3">
        <w:rPr>
          <w:rFonts w:ascii="Arial" w:hAnsi="Arial" w:cs="Arial"/>
          <w:sz w:val="23"/>
          <w:szCs w:val="23"/>
        </w:rPr>
        <w:t xml:space="preserve">Que, </w:t>
      </w:r>
      <w:r w:rsidR="00B925A8" w:rsidRPr="00106CF3">
        <w:rPr>
          <w:rFonts w:ascii="Arial" w:hAnsi="Arial" w:cs="Arial"/>
          <w:sz w:val="23"/>
          <w:szCs w:val="23"/>
        </w:rPr>
        <w:t>con el propósito de establecer criterios específicos y recomendaciones en materia de archivos, la Coordinación de Archivos, en ejercicio de sus facultades, en coordinación con la Dirección Jurídica, diseñaron el Reglamento para la Organización y Conservación del Archivo del Instituto.</w:t>
      </w:r>
    </w:p>
    <w:p w14:paraId="39432BB0" w14:textId="3D44C694" w:rsidR="006F4CF7" w:rsidRPr="00106CF3" w:rsidRDefault="006F4CF7" w:rsidP="006F4CF7">
      <w:pPr>
        <w:rPr>
          <w:rFonts w:ascii="Arial" w:hAnsi="Arial" w:cs="Arial"/>
          <w:sz w:val="23"/>
          <w:szCs w:val="23"/>
        </w:rPr>
      </w:pPr>
      <w:r w:rsidRPr="00106CF3">
        <w:rPr>
          <w:rFonts w:ascii="Arial" w:hAnsi="Arial" w:cs="Arial"/>
          <w:sz w:val="23"/>
          <w:szCs w:val="23"/>
        </w:rPr>
        <w:t xml:space="preserve">El documento tiene como objetivo, establecer de forma general, los procedimientos </w:t>
      </w:r>
      <w:r w:rsidR="00465685" w:rsidRPr="00106CF3">
        <w:rPr>
          <w:rFonts w:ascii="Arial" w:hAnsi="Arial" w:cs="Arial"/>
          <w:sz w:val="23"/>
          <w:szCs w:val="23"/>
        </w:rPr>
        <w:t>que deben seguir las áreas y unidades administrativas de este Instituto, para integrar y conservar los archivos de trámite, de concentración e histórico del propio Instituto</w:t>
      </w:r>
      <w:r w:rsidRPr="00106CF3">
        <w:rPr>
          <w:rFonts w:ascii="Arial" w:hAnsi="Arial" w:cs="Arial"/>
          <w:sz w:val="23"/>
          <w:szCs w:val="23"/>
        </w:rPr>
        <w:t>.</w:t>
      </w:r>
    </w:p>
    <w:p w14:paraId="01762505" w14:textId="4B8F9C7C" w:rsidR="006F4CF7" w:rsidRPr="00106CF3" w:rsidRDefault="006F4CF7" w:rsidP="006F4CF7">
      <w:pPr>
        <w:rPr>
          <w:rFonts w:ascii="Arial" w:hAnsi="Arial" w:cs="Arial"/>
          <w:sz w:val="23"/>
          <w:szCs w:val="23"/>
        </w:rPr>
      </w:pPr>
      <w:r w:rsidRPr="00106CF3">
        <w:rPr>
          <w:rFonts w:ascii="Arial" w:hAnsi="Arial" w:cs="Arial"/>
          <w:sz w:val="23"/>
          <w:szCs w:val="23"/>
        </w:rPr>
        <w:t xml:space="preserve">Como regla general, se determinan los requisitos a los que deben sujetarse las áreas y unidades del Instituto, para integrar y conformar los expedientes que deriven del ejercicio de sus funciones. </w:t>
      </w:r>
      <w:r w:rsidR="002119D8" w:rsidRPr="00106CF3">
        <w:rPr>
          <w:rFonts w:ascii="Arial" w:hAnsi="Arial" w:cs="Arial"/>
          <w:sz w:val="23"/>
          <w:szCs w:val="23"/>
        </w:rPr>
        <w:t>En todo caso, lo que se busca es la uniformidad y concentración de la información, en apego a lo que establece el artículo 11 fracción III de la Ley de Archivos</w:t>
      </w:r>
      <w:r w:rsidR="00B86C57" w:rsidRPr="00106CF3">
        <w:rPr>
          <w:rFonts w:ascii="Arial" w:hAnsi="Arial" w:cs="Arial"/>
          <w:sz w:val="23"/>
          <w:szCs w:val="23"/>
        </w:rPr>
        <w:t>, que impone la obligación a los sujetos obligados de integrar los documentos en expedientes.</w:t>
      </w:r>
    </w:p>
    <w:p w14:paraId="2F4D1495" w14:textId="05A95098" w:rsidR="00F01614" w:rsidRPr="00106CF3" w:rsidRDefault="00D05B4C" w:rsidP="006F4CF7">
      <w:pPr>
        <w:rPr>
          <w:rFonts w:ascii="Arial" w:hAnsi="Arial" w:cs="Arial"/>
          <w:sz w:val="23"/>
          <w:szCs w:val="23"/>
        </w:rPr>
      </w:pPr>
      <w:r w:rsidRPr="00106CF3">
        <w:rPr>
          <w:rFonts w:ascii="Arial" w:hAnsi="Arial" w:cs="Arial"/>
          <w:sz w:val="23"/>
          <w:szCs w:val="23"/>
        </w:rPr>
        <w:t xml:space="preserve">Por otra parte, </w:t>
      </w:r>
      <w:r w:rsidR="006F4CF7" w:rsidRPr="00106CF3">
        <w:rPr>
          <w:rFonts w:ascii="Arial" w:hAnsi="Arial" w:cs="Arial"/>
          <w:sz w:val="23"/>
          <w:szCs w:val="23"/>
        </w:rPr>
        <w:t>el Reglamento prevé</w:t>
      </w:r>
      <w:r w:rsidR="00465685" w:rsidRPr="00106CF3">
        <w:rPr>
          <w:rFonts w:ascii="Arial" w:hAnsi="Arial" w:cs="Arial"/>
          <w:sz w:val="23"/>
          <w:szCs w:val="23"/>
        </w:rPr>
        <w:t xml:space="preserve"> </w:t>
      </w:r>
      <w:r w:rsidRPr="00106CF3">
        <w:rPr>
          <w:rFonts w:ascii="Arial" w:hAnsi="Arial" w:cs="Arial"/>
          <w:sz w:val="23"/>
          <w:szCs w:val="23"/>
        </w:rPr>
        <w:t xml:space="preserve">las reglas para </w:t>
      </w:r>
      <w:r w:rsidR="00465685" w:rsidRPr="00106CF3">
        <w:rPr>
          <w:rFonts w:ascii="Arial" w:hAnsi="Arial" w:cs="Arial"/>
          <w:sz w:val="23"/>
          <w:szCs w:val="23"/>
        </w:rPr>
        <w:t xml:space="preserve">la organización y </w:t>
      </w:r>
      <w:r w:rsidRPr="00106CF3">
        <w:rPr>
          <w:rFonts w:ascii="Arial" w:hAnsi="Arial" w:cs="Arial"/>
          <w:sz w:val="23"/>
          <w:szCs w:val="23"/>
        </w:rPr>
        <w:t xml:space="preserve">el </w:t>
      </w:r>
      <w:r w:rsidR="00465685" w:rsidRPr="00106CF3">
        <w:rPr>
          <w:rFonts w:ascii="Arial" w:hAnsi="Arial" w:cs="Arial"/>
          <w:sz w:val="23"/>
          <w:szCs w:val="23"/>
        </w:rPr>
        <w:t>funcionamiento del Grupo Interdisciplinario</w:t>
      </w:r>
      <w:r w:rsidR="00F01614" w:rsidRPr="00106CF3">
        <w:rPr>
          <w:rFonts w:ascii="Arial" w:hAnsi="Arial" w:cs="Arial"/>
          <w:sz w:val="23"/>
          <w:szCs w:val="23"/>
        </w:rPr>
        <w:t>, órgano técnico que coadyuva en la valoración documental.</w:t>
      </w:r>
    </w:p>
    <w:p w14:paraId="0847FF6B" w14:textId="53528F64" w:rsidR="00465685" w:rsidRPr="00106CF3" w:rsidRDefault="00166CD6" w:rsidP="00166CD6">
      <w:pPr>
        <w:rPr>
          <w:rFonts w:ascii="Arial" w:hAnsi="Arial" w:cs="Arial"/>
          <w:sz w:val="23"/>
          <w:szCs w:val="23"/>
        </w:rPr>
      </w:pPr>
      <w:r w:rsidRPr="00106CF3">
        <w:rPr>
          <w:rFonts w:ascii="Arial" w:hAnsi="Arial" w:cs="Arial"/>
          <w:sz w:val="23"/>
          <w:szCs w:val="23"/>
        </w:rPr>
        <w:t xml:space="preserve">En ese contexto, </w:t>
      </w:r>
      <w:r w:rsidR="00465685" w:rsidRPr="00106CF3">
        <w:rPr>
          <w:rFonts w:ascii="Arial" w:hAnsi="Arial" w:cs="Arial"/>
          <w:sz w:val="23"/>
          <w:szCs w:val="23"/>
        </w:rPr>
        <w:t>el Reglamento se integra de</w:t>
      </w:r>
      <w:r w:rsidRPr="00106CF3">
        <w:rPr>
          <w:rFonts w:ascii="Arial" w:hAnsi="Arial" w:cs="Arial"/>
          <w:sz w:val="23"/>
          <w:szCs w:val="23"/>
        </w:rPr>
        <w:t xml:space="preserve"> la siguiente forma: a) Título Primero</w:t>
      </w:r>
      <w:r w:rsidR="00465685" w:rsidRPr="00106CF3">
        <w:rPr>
          <w:rFonts w:ascii="Arial" w:hAnsi="Arial" w:cs="Arial"/>
          <w:sz w:val="23"/>
          <w:szCs w:val="23"/>
        </w:rPr>
        <w:t xml:space="preserve">. </w:t>
      </w:r>
      <w:r w:rsidRPr="00106CF3">
        <w:rPr>
          <w:rFonts w:ascii="Arial" w:hAnsi="Arial" w:cs="Arial"/>
          <w:sz w:val="23"/>
          <w:szCs w:val="23"/>
        </w:rPr>
        <w:t xml:space="preserve">Disposiciones generales, </w:t>
      </w:r>
      <w:r w:rsidR="00465685" w:rsidRPr="00106CF3">
        <w:rPr>
          <w:rFonts w:ascii="Arial" w:hAnsi="Arial" w:cs="Arial"/>
          <w:sz w:val="23"/>
          <w:szCs w:val="23"/>
        </w:rPr>
        <w:t xml:space="preserve">b) Título </w:t>
      </w:r>
      <w:r w:rsidRPr="00106CF3">
        <w:rPr>
          <w:rFonts w:ascii="Arial" w:hAnsi="Arial" w:cs="Arial"/>
          <w:sz w:val="23"/>
          <w:szCs w:val="23"/>
        </w:rPr>
        <w:t>Segundo</w:t>
      </w:r>
      <w:r w:rsidR="00465685" w:rsidRPr="00106CF3">
        <w:rPr>
          <w:rFonts w:ascii="Arial" w:hAnsi="Arial" w:cs="Arial"/>
          <w:sz w:val="23"/>
          <w:szCs w:val="23"/>
        </w:rPr>
        <w:t xml:space="preserve">. Organización del Sistema Institucional de Archivos, integrado por </w:t>
      </w:r>
      <w:r w:rsidRPr="00106CF3">
        <w:rPr>
          <w:rFonts w:ascii="Arial" w:hAnsi="Arial" w:cs="Arial"/>
          <w:sz w:val="23"/>
          <w:szCs w:val="23"/>
        </w:rPr>
        <w:t>seis</w:t>
      </w:r>
      <w:r w:rsidR="00465685" w:rsidRPr="00106CF3">
        <w:rPr>
          <w:rFonts w:ascii="Arial" w:hAnsi="Arial" w:cs="Arial"/>
          <w:sz w:val="23"/>
          <w:szCs w:val="23"/>
        </w:rPr>
        <w:t xml:space="preserve"> capítulos, relacionados </w:t>
      </w:r>
      <w:r w:rsidRPr="00106CF3">
        <w:rPr>
          <w:rFonts w:ascii="Arial" w:hAnsi="Arial" w:cs="Arial"/>
          <w:sz w:val="23"/>
          <w:szCs w:val="23"/>
        </w:rPr>
        <w:t xml:space="preserve">la estructura y funcionamiento del Sistema Institucional de Archivos; y, c) Titulo Tercero. Gestión documental, que regula lo </w:t>
      </w:r>
      <w:r w:rsidR="00465685" w:rsidRPr="00106CF3">
        <w:rPr>
          <w:rFonts w:ascii="Arial" w:hAnsi="Arial" w:cs="Arial"/>
          <w:sz w:val="23"/>
          <w:szCs w:val="23"/>
        </w:rPr>
        <w:t xml:space="preserve">relativo a la </w:t>
      </w:r>
      <w:r w:rsidRPr="00106CF3">
        <w:rPr>
          <w:rFonts w:ascii="Arial" w:hAnsi="Arial" w:cs="Arial"/>
          <w:sz w:val="23"/>
          <w:szCs w:val="23"/>
        </w:rPr>
        <w:t xml:space="preserve">disposición, </w:t>
      </w:r>
      <w:r w:rsidR="00465685" w:rsidRPr="00106CF3">
        <w:rPr>
          <w:rFonts w:ascii="Arial" w:hAnsi="Arial" w:cs="Arial"/>
          <w:sz w:val="23"/>
          <w:szCs w:val="23"/>
        </w:rPr>
        <w:t xml:space="preserve">consulta, digitalización y </w:t>
      </w:r>
      <w:r w:rsidRPr="00106CF3">
        <w:rPr>
          <w:rFonts w:ascii="Arial" w:hAnsi="Arial" w:cs="Arial"/>
          <w:sz w:val="23"/>
          <w:szCs w:val="23"/>
        </w:rPr>
        <w:t>destino final de la documentación que conforma el archivo del Instituto.</w:t>
      </w:r>
    </w:p>
    <w:p w14:paraId="7063E76B" w14:textId="188A33C8" w:rsidR="00465685" w:rsidRPr="00106CF3" w:rsidRDefault="00EC16BA" w:rsidP="00465685">
      <w:pPr>
        <w:rPr>
          <w:rFonts w:ascii="Arial" w:hAnsi="Arial" w:cs="Arial"/>
          <w:sz w:val="23"/>
          <w:szCs w:val="23"/>
        </w:rPr>
      </w:pPr>
      <w:r w:rsidRPr="00106CF3">
        <w:rPr>
          <w:rFonts w:ascii="Arial" w:hAnsi="Arial" w:cs="Arial"/>
          <w:sz w:val="23"/>
          <w:szCs w:val="23"/>
        </w:rPr>
        <w:t xml:space="preserve">Con lo anterior, el Instituto </w:t>
      </w:r>
      <w:r w:rsidR="00465685" w:rsidRPr="00106CF3">
        <w:rPr>
          <w:rFonts w:ascii="Arial" w:hAnsi="Arial" w:cs="Arial"/>
          <w:sz w:val="23"/>
          <w:szCs w:val="23"/>
        </w:rPr>
        <w:t xml:space="preserve">da certeza a los actos de las y los servidores públicos del Instituto que realicen para preservar la documentación y la información que genera el propio órgano electoral, sentando las bases para que, </w:t>
      </w:r>
      <w:r w:rsidRPr="00106CF3">
        <w:rPr>
          <w:rFonts w:ascii="Arial" w:hAnsi="Arial" w:cs="Arial"/>
          <w:sz w:val="23"/>
          <w:szCs w:val="23"/>
        </w:rPr>
        <w:t xml:space="preserve">se </w:t>
      </w:r>
      <w:r w:rsidR="00465685" w:rsidRPr="00106CF3">
        <w:rPr>
          <w:rFonts w:ascii="Arial" w:hAnsi="Arial" w:cs="Arial"/>
          <w:sz w:val="23"/>
          <w:szCs w:val="23"/>
        </w:rPr>
        <w:t>instaure</w:t>
      </w:r>
      <w:r w:rsidRPr="00106CF3">
        <w:rPr>
          <w:rFonts w:ascii="Arial" w:hAnsi="Arial" w:cs="Arial"/>
          <w:sz w:val="23"/>
          <w:szCs w:val="23"/>
        </w:rPr>
        <w:t>n</w:t>
      </w:r>
      <w:r w:rsidR="00465685" w:rsidRPr="00106CF3">
        <w:rPr>
          <w:rFonts w:ascii="Arial" w:hAnsi="Arial" w:cs="Arial"/>
          <w:sz w:val="23"/>
          <w:szCs w:val="23"/>
        </w:rPr>
        <w:t xml:space="preserve"> las herramientas técnicas que permitan que la ciudadanía tenga un acceso fácil y ordenado a la información pública.</w:t>
      </w:r>
    </w:p>
    <w:p w14:paraId="159D2616" w14:textId="5515C9AE" w:rsidR="00690179" w:rsidRPr="00106CF3" w:rsidRDefault="00690179" w:rsidP="00690179">
      <w:pPr>
        <w:rPr>
          <w:rFonts w:ascii="Arial" w:hAnsi="Arial" w:cs="Arial"/>
          <w:sz w:val="23"/>
          <w:szCs w:val="23"/>
        </w:rPr>
      </w:pPr>
      <w:r w:rsidRPr="00106CF3">
        <w:rPr>
          <w:rFonts w:ascii="Arial" w:hAnsi="Arial" w:cs="Arial"/>
          <w:sz w:val="23"/>
          <w:szCs w:val="23"/>
        </w:rPr>
        <w:t xml:space="preserve">Lo anterior constituye una política de transparencia proactiva tendente a promover la mejora, y simplificación de los procesos institucionales, así como la homologación de trámites y servicios públicos, cuestiones que, </w:t>
      </w:r>
      <w:r w:rsidR="00C53670" w:rsidRPr="00106CF3">
        <w:rPr>
          <w:rFonts w:ascii="Arial" w:hAnsi="Arial" w:cs="Arial"/>
          <w:sz w:val="23"/>
          <w:szCs w:val="23"/>
        </w:rPr>
        <w:t>contribuyen a fortalecer el principio de máxima publicidad que rige las actuaciones del propio Instituto.</w:t>
      </w:r>
    </w:p>
    <w:p w14:paraId="46012099" w14:textId="77777777" w:rsidR="000A5AF1" w:rsidRPr="00106CF3" w:rsidRDefault="000A5AF1" w:rsidP="003933E6">
      <w:pPr>
        <w:rPr>
          <w:rFonts w:ascii="Arial" w:hAnsi="Arial" w:cs="Arial"/>
          <w:sz w:val="23"/>
          <w:szCs w:val="23"/>
        </w:rPr>
      </w:pPr>
      <w:r w:rsidRPr="00106CF3">
        <w:rPr>
          <w:rFonts w:ascii="Arial" w:hAnsi="Arial" w:cs="Arial"/>
          <w:sz w:val="23"/>
          <w:szCs w:val="23"/>
        </w:rPr>
        <w:t>Sobre la base de las consideraciones señaladas, este Consejo Estatal emite el siguiente:</w:t>
      </w:r>
    </w:p>
    <w:p w14:paraId="344C7030" w14:textId="77777777" w:rsidR="000A5AF1" w:rsidRPr="00106CF3" w:rsidRDefault="000A5AF1" w:rsidP="00781FA8">
      <w:pPr>
        <w:pStyle w:val="Ttulo1"/>
        <w:rPr>
          <w:sz w:val="24"/>
          <w:szCs w:val="24"/>
        </w:rPr>
      </w:pPr>
      <w:r w:rsidRPr="00106CF3">
        <w:rPr>
          <w:sz w:val="24"/>
          <w:szCs w:val="24"/>
        </w:rPr>
        <w:t>Acuerdo</w:t>
      </w:r>
    </w:p>
    <w:p w14:paraId="7378BCC6" w14:textId="2DD448DC" w:rsidR="000A5AF1" w:rsidRPr="00106CF3" w:rsidRDefault="000A5AF1" w:rsidP="008C34DB">
      <w:pPr>
        <w:rPr>
          <w:rFonts w:ascii="Arial" w:hAnsi="Arial" w:cs="Arial"/>
          <w:sz w:val="23"/>
          <w:szCs w:val="23"/>
        </w:rPr>
      </w:pPr>
      <w:r w:rsidRPr="00106CF3">
        <w:rPr>
          <w:rFonts w:ascii="Arial" w:hAnsi="Arial" w:cs="Arial"/>
          <w:b/>
          <w:bCs/>
          <w:sz w:val="23"/>
          <w:szCs w:val="23"/>
        </w:rPr>
        <w:t>Primero.</w:t>
      </w:r>
      <w:r w:rsidRPr="00106CF3">
        <w:rPr>
          <w:rFonts w:ascii="Arial" w:hAnsi="Arial" w:cs="Arial"/>
          <w:sz w:val="23"/>
          <w:szCs w:val="23"/>
        </w:rPr>
        <w:t xml:space="preserve"> Se aprueba el Reglamento </w:t>
      </w:r>
      <w:r w:rsidR="008C34DB" w:rsidRPr="00106CF3">
        <w:rPr>
          <w:rFonts w:ascii="Arial" w:hAnsi="Arial" w:cs="Arial"/>
          <w:sz w:val="23"/>
          <w:szCs w:val="23"/>
        </w:rPr>
        <w:t xml:space="preserve">para la organización y conservación del archivo del Instituto Electoral y de Participación Ciudadana de Tabasco </w:t>
      </w:r>
      <w:r w:rsidRPr="00106CF3">
        <w:rPr>
          <w:rFonts w:ascii="Arial" w:hAnsi="Arial" w:cs="Arial"/>
          <w:sz w:val="23"/>
          <w:szCs w:val="23"/>
        </w:rPr>
        <w:t>anexo al presente acuerdo.</w:t>
      </w:r>
    </w:p>
    <w:p w14:paraId="79EEE1E0" w14:textId="2EA6660E" w:rsidR="000A5AF1" w:rsidRPr="00106CF3" w:rsidRDefault="000A5AF1" w:rsidP="00290F76">
      <w:pPr>
        <w:rPr>
          <w:rFonts w:ascii="Arial" w:hAnsi="Arial" w:cs="Arial"/>
          <w:sz w:val="23"/>
          <w:szCs w:val="23"/>
        </w:rPr>
      </w:pPr>
      <w:r w:rsidRPr="00106CF3">
        <w:rPr>
          <w:rFonts w:ascii="Arial" w:hAnsi="Arial" w:cs="Arial"/>
          <w:b/>
          <w:bCs/>
          <w:sz w:val="23"/>
          <w:szCs w:val="23"/>
        </w:rPr>
        <w:t>Segundo.</w:t>
      </w:r>
      <w:r w:rsidR="00E7660C" w:rsidRPr="00106CF3">
        <w:rPr>
          <w:rFonts w:ascii="Arial" w:hAnsi="Arial" w:cs="Arial"/>
          <w:sz w:val="23"/>
          <w:szCs w:val="23"/>
        </w:rPr>
        <w:t xml:space="preserve"> </w:t>
      </w:r>
      <w:r w:rsidRPr="00106CF3">
        <w:rPr>
          <w:rFonts w:ascii="Arial" w:hAnsi="Arial" w:cs="Arial"/>
          <w:sz w:val="23"/>
          <w:szCs w:val="23"/>
        </w:rPr>
        <w:t xml:space="preserve">El </w:t>
      </w:r>
      <w:r w:rsidR="00290F76" w:rsidRPr="00106CF3">
        <w:rPr>
          <w:rFonts w:ascii="Arial" w:hAnsi="Arial" w:cs="Arial"/>
          <w:sz w:val="23"/>
          <w:szCs w:val="23"/>
        </w:rPr>
        <w:t xml:space="preserve">Reglamento para la organización y conservación del archivo del Instituto Electoral y de Participación Ciudadana de Tabasco </w:t>
      </w:r>
      <w:r w:rsidRPr="00106CF3">
        <w:rPr>
          <w:rFonts w:ascii="Arial" w:hAnsi="Arial" w:cs="Arial"/>
          <w:sz w:val="23"/>
          <w:szCs w:val="23"/>
        </w:rPr>
        <w:t>surtirá sus efectos a partir del día siguiente de su aprobación.</w:t>
      </w:r>
    </w:p>
    <w:p w14:paraId="5B595FDB" w14:textId="6692D701" w:rsidR="000A5AF1" w:rsidRPr="00106CF3" w:rsidRDefault="000A5AF1" w:rsidP="00E7660C">
      <w:pPr>
        <w:rPr>
          <w:rFonts w:ascii="Arial" w:hAnsi="Arial" w:cs="Arial"/>
          <w:sz w:val="23"/>
          <w:szCs w:val="23"/>
        </w:rPr>
      </w:pPr>
      <w:r w:rsidRPr="00106CF3">
        <w:rPr>
          <w:rFonts w:ascii="Arial" w:hAnsi="Arial" w:cs="Arial"/>
          <w:b/>
          <w:bCs/>
          <w:sz w:val="23"/>
          <w:szCs w:val="23"/>
        </w:rPr>
        <w:t>Tercero.</w:t>
      </w:r>
      <w:r w:rsidRPr="00106CF3">
        <w:rPr>
          <w:rFonts w:ascii="Arial" w:hAnsi="Arial" w:cs="Arial"/>
          <w:sz w:val="23"/>
          <w:szCs w:val="23"/>
        </w:rPr>
        <w:t xml:space="preserve"> </w:t>
      </w:r>
      <w:r w:rsidR="00E7660C" w:rsidRPr="00106CF3">
        <w:rPr>
          <w:rFonts w:ascii="Arial" w:hAnsi="Arial" w:cs="Arial"/>
          <w:sz w:val="23"/>
          <w:szCs w:val="23"/>
        </w:rPr>
        <w:t>S</w:t>
      </w:r>
      <w:r w:rsidRPr="00106CF3">
        <w:rPr>
          <w:rFonts w:ascii="Arial" w:hAnsi="Arial" w:cs="Arial"/>
          <w:sz w:val="23"/>
          <w:szCs w:val="23"/>
        </w:rPr>
        <w:t xml:space="preserve">e instruye a la Secretaría Ejecutiva de este Instituto para que, a través de la Coordinación de Vinculación con el Instituto Nacional Electoral notifique el presente acuerdo al citado organismo nacional, por conducto de su Unidad Técnica de Vinculación con los Organismos Públicos Locales, para los efectos correspondientes. </w:t>
      </w:r>
    </w:p>
    <w:p w14:paraId="0EBF4BB3" w14:textId="5E38E2BB" w:rsidR="000A5AF1" w:rsidRPr="00106CF3" w:rsidRDefault="00764DD5" w:rsidP="003933E6">
      <w:pPr>
        <w:rPr>
          <w:rFonts w:ascii="Arial" w:hAnsi="Arial" w:cs="Arial"/>
          <w:sz w:val="23"/>
          <w:szCs w:val="23"/>
        </w:rPr>
      </w:pPr>
      <w:r w:rsidRPr="00106CF3">
        <w:rPr>
          <w:rFonts w:ascii="Arial" w:hAnsi="Arial" w:cs="Arial"/>
          <w:b/>
          <w:bCs/>
          <w:sz w:val="23"/>
          <w:szCs w:val="23"/>
        </w:rPr>
        <w:t>Cuarto</w:t>
      </w:r>
      <w:r w:rsidR="000A5AF1" w:rsidRPr="00106CF3">
        <w:rPr>
          <w:rFonts w:ascii="Arial" w:hAnsi="Arial" w:cs="Arial"/>
          <w:b/>
          <w:bCs/>
          <w:sz w:val="23"/>
          <w:szCs w:val="23"/>
        </w:rPr>
        <w:t>.</w:t>
      </w:r>
      <w:r w:rsidR="000A5AF1" w:rsidRPr="00106CF3">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BC7BE29" w14:textId="23FE33E6" w:rsidR="000A5AF1" w:rsidRPr="00106CF3" w:rsidRDefault="000A5AF1" w:rsidP="003933E6">
      <w:pPr>
        <w:rPr>
          <w:rFonts w:ascii="Arial" w:hAnsi="Arial" w:cs="Arial"/>
          <w:sz w:val="23"/>
          <w:szCs w:val="23"/>
        </w:rPr>
      </w:pPr>
      <w:r w:rsidRPr="00106CF3">
        <w:rPr>
          <w:rFonts w:ascii="Arial" w:hAnsi="Arial" w:cs="Arial"/>
          <w:sz w:val="23"/>
          <w:szCs w:val="23"/>
        </w:rPr>
        <w:t>El presente acuerdo fue</w:t>
      </w:r>
      <w:r w:rsidR="00106CF3">
        <w:rPr>
          <w:rFonts w:ascii="Arial" w:hAnsi="Arial" w:cs="Arial"/>
          <w:sz w:val="23"/>
          <w:szCs w:val="23"/>
        </w:rPr>
        <w:t xml:space="preserve"> aprobado</w:t>
      </w:r>
      <w:r w:rsidRPr="00106CF3">
        <w:rPr>
          <w:rFonts w:ascii="Arial" w:hAnsi="Arial" w:cs="Arial"/>
          <w:sz w:val="23"/>
          <w:szCs w:val="23"/>
        </w:rPr>
        <w:t xml:space="preserve"> en sesión</w:t>
      </w:r>
      <w:r w:rsidR="00106CF3">
        <w:rPr>
          <w:rFonts w:ascii="Arial" w:hAnsi="Arial" w:cs="Arial"/>
          <w:sz w:val="23"/>
          <w:szCs w:val="23"/>
        </w:rPr>
        <w:t xml:space="preserve"> ordinaria</w:t>
      </w:r>
      <w:r w:rsidRPr="00106CF3">
        <w:rPr>
          <w:rFonts w:ascii="Arial" w:hAnsi="Arial" w:cs="Arial"/>
          <w:sz w:val="23"/>
          <w:szCs w:val="23"/>
        </w:rPr>
        <w:t xml:space="preserve"> efectuada el</w:t>
      </w:r>
      <w:r w:rsidR="00106CF3">
        <w:rPr>
          <w:rFonts w:ascii="Arial" w:hAnsi="Arial" w:cs="Arial"/>
          <w:sz w:val="23"/>
          <w:szCs w:val="23"/>
        </w:rPr>
        <w:t xml:space="preserve"> treinta</w:t>
      </w:r>
      <w:r w:rsidRPr="00106CF3">
        <w:rPr>
          <w:rFonts w:ascii="Arial" w:hAnsi="Arial" w:cs="Arial"/>
          <w:sz w:val="23"/>
          <w:szCs w:val="23"/>
        </w:rPr>
        <w:t xml:space="preserve"> de </w:t>
      </w:r>
      <w:r w:rsidR="00106CF3">
        <w:rPr>
          <w:rFonts w:ascii="Arial" w:hAnsi="Arial" w:cs="Arial"/>
          <w:sz w:val="23"/>
          <w:szCs w:val="23"/>
        </w:rPr>
        <w:t>noviembre</w:t>
      </w:r>
      <w:r w:rsidRPr="00106CF3">
        <w:rPr>
          <w:rFonts w:ascii="Arial" w:hAnsi="Arial" w:cs="Arial"/>
          <w:sz w:val="23"/>
          <w:szCs w:val="23"/>
        </w:rPr>
        <w:t xml:space="preserve"> del año dos mil veintitrés, por votación </w:t>
      </w:r>
      <w:r w:rsidR="00106CF3">
        <w:rPr>
          <w:rFonts w:ascii="Arial" w:hAnsi="Arial" w:cs="Arial"/>
          <w:sz w:val="23"/>
          <w:szCs w:val="23"/>
        </w:rPr>
        <w:t>unánime</w:t>
      </w:r>
      <w:r w:rsidRPr="00106CF3">
        <w:rPr>
          <w:rFonts w:ascii="Arial" w:hAnsi="Arial" w:cs="Arial"/>
          <w:sz w:val="23"/>
          <w:szCs w:val="23"/>
        </w:rPr>
        <w:t xml:space="preserve"> de las y los Consejeros Electorales del Consejo Estatal del Instituto Electoral y de Participación Ciudadana de Tabasco: </w:t>
      </w:r>
      <w:r w:rsidR="003B6CCF" w:rsidRPr="00106CF3">
        <w:rPr>
          <w:rFonts w:ascii="Arial" w:hAnsi="Arial" w:cs="Arial"/>
          <w:sz w:val="23"/>
          <w:szCs w:val="23"/>
        </w:rPr>
        <w:t>Dra</w:t>
      </w:r>
      <w:r w:rsidRPr="00106CF3">
        <w:rPr>
          <w:rFonts w:ascii="Arial" w:hAnsi="Arial" w:cs="Arial"/>
          <w:sz w:val="23"/>
          <w:szCs w:val="23"/>
        </w:rPr>
        <w:t xml:space="preserve">. </w:t>
      </w:r>
      <w:proofErr w:type="spellStart"/>
      <w:r w:rsidRPr="00106CF3">
        <w:rPr>
          <w:rFonts w:ascii="Arial" w:hAnsi="Arial" w:cs="Arial"/>
          <w:sz w:val="23"/>
          <w:szCs w:val="23"/>
        </w:rPr>
        <w:t>Rosselvy</w:t>
      </w:r>
      <w:proofErr w:type="spellEnd"/>
      <w:r w:rsidRPr="00106CF3">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A83023D" w14:textId="689C6E90" w:rsidR="00676F2E" w:rsidRDefault="00676F2E" w:rsidP="00676F2E">
      <w:pPr>
        <w:pStyle w:val="Puntos"/>
        <w:widowControl w:val="0"/>
        <w:spacing w:line="300" w:lineRule="auto"/>
        <w:ind w:left="0"/>
        <w:rPr>
          <w:sz w:val="23"/>
          <w:szCs w:val="23"/>
        </w:rPr>
      </w:pPr>
    </w:p>
    <w:p w14:paraId="544A87BE" w14:textId="77777777" w:rsidR="002F0A00" w:rsidRPr="00106CF3" w:rsidRDefault="002F0A00" w:rsidP="00676F2E">
      <w:pPr>
        <w:pStyle w:val="Puntos"/>
        <w:widowControl w:val="0"/>
        <w:spacing w:line="300" w:lineRule="auto"/>
        <w:ind w:left="0"/>
        <w:rPr>
          <w:sz w:val="23"/>
          <w:szCs w:val="23"/>
        </w:rPr>
      </w:pPr>
    </w:p>
    <w:p w14:paraId="1EF9AC03" w14:textId="77777777" w:rsidR="00676F2E" w:rsidRPr="00106CF3" w:rsidRDefault="00676F2E" w:rsidP="00676F2E">
      <w:pPr>
        <w:pStyle w:val="Puntos"/>
        <w:widowControl w:val="0"/>
        <w:spacing w:line="300" w:lineRule="auto"/>
        <w:ind w:left="0"/>
        <w:rPr>
          <w:sz w:val="23"/>
          <w:szCs w:val="23"/>
        </w:rPr>
      </w:pPr>
      <w:bookmarkStart w:id="0" w:name="_GoBack"/>
      <w:bookmarkEnd w:id="0"/>
    </w:p>
    <w:tbl>
      <w:tblPr>
        <w:tblStyle w:val="Tablaconcuadrcula"/>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258"/>
      </w:tblGrid>
      <w:tr w:rsidR="00676F2E" w:rsidRPr="00106CF3" w14:paraId="460A37BC" w14:textId="77777777" w:rsidTr="002F0A00">
        <w:tc>
          <w:tcPr>
            <w:tcW w:w="4395" w:type="dxa"/>
          </w:tcPr>
          <w:p w14:paraId="6B48BE5D" w14:textId="77777777" w:rsidR="00676F2E" w:rsidRPr="00106CF3" w:rsidRDefault="00676F2E" w:rsidP="00D05B4C">
            <w:pPr>
              <w:widowControl w:val="0"/>
              <w:spacing w:before="0" w:after="0"/>
              <w:jc w:val="center"/>
              <w:rPr>
                <w:rFonts w:ascii="Arial" w:hAnsi="Arial" w:cs="Arial"/>
                <w:b/>
                <w:spacing w:val="-10"/>
                <w:sz w:val="23"/>
                <w:szCs w:val="23"/>
              </w:rPr>
            </w:pPr>
            <w:r w:rsidRPr="00106CF3">
              <w:rPr>
                <w:rFonts w:ascii="Arial" w:hAnsi="Arial" w:cs="Arial"/>
                <w:b/>
                <w:spacing w:val="-10"/>
                <w:sz w:val="23"/>
                <w:szCs w:val="23"/>
              </w:rPr>
              <w:t>MTRA. ELIZABETH NAVA GUTIÉRREZ</w:t>
            </w:r>
          </w:p>
          <w:p w14:paraId="60BBD65E" w14:textId="77777777" w:rsidR="00676F2E" w:rsidRPr="00106CF3" w:rsidRDefault="00676F2E" w:rsidP="00D05B4C">
            <w:pPr>
              <w:widowControl w:val="0"/>
              <w:spacing w:before="0" w:after="0"/>
              <w:jc w:val="center"/>
              <w:rPr>
                <w:rFonts w:ascii="Arial" w:hAnsi="Arial" w:cs="Arial"/>
                <w:b/>
                <w:sz w:val="23"/>
                <w:szCs w:val="23"/>
              </w:rPr>
            </w:pPr>
            <w:r w:rsidRPr="00106CF3">
              <w:rPr>
                <w:rFonts w:ascii="Arial" w:hAnsi="Arial" w:cs="Arial"/>
                <w:b/>
                <w:spacing w:val="-10"/>
                <w:sz w:val="23"/>
                <w:szCs w:val="23"/>
              </w:rPr>
              <w:t>CONSEJERA PRESIDENTA</w:t>
            </w:r>
          </w:p>
        </w:tc>
        <w:tc>
          <w:tcPr>
            <w:tcW w:w="278" w:type="dxa"/>
          </w:tcPr>
          <w:p w14:paraId="211BB33C" w14:textId="77777777" w:rsidR="00676F2E" w:rsidRPr="00106CF3" w:rsidRDefault="00676F2E" w:rsidP="00D05B4C">
            <w:pPr>
              <w:widowControl w:val="0"/>
              <w:spacing w:before="0" w:after="0"/>
              <w:rPr>
                <w:rFonts w:ascii="Arial" w:hAnsi="Arial" w:cs="Arial"/>
                <w:b/>
                <w:sz w:val="23"/>
                <w:szCs w:val="23"/>
              </w:rPr>
            </w:pPr>
          </w:p>
        </w:tc>
        <w:tc>
          <w:tcPr>
            <w:tcW w:w="4258" w:type="dxa"/>
          </w:tcPr>
          <w:p w14:paraId="3EB7CB88" w14:textId="77777777" w:rsidR="00676F2E" w:rsidRPr="00106CF3" w:rsidRDefault="00676F2E" w:rsidP="00D05B4C">
            <w:pPr>
              <w:widowControl w:val="0"/>
              <w:spacing w:before="0" w:after="0"/>
              <w:jc w:val="center"/>
              <w:rPr>
                <w:rFonts w:ascii="Arial" w:hAnsi="Arial" w:cs="Arial"/>
                <w:b/>
                <w:spacing w:val="-10"/>
                <w:sz w:val="23"/>
                <w:szCs w:val="23"/>
              </w:rPr>
            </w:pPr>
            <w:r w:rsidRPr="00106CF3">
              <w:rPr>
                <w:rFonts w:ascii="Arial" w:hAnsi="Arial" w:cs="Arial"/>
                <w:b/>
                <w:spacing w:val="-10"/>
                <w:sz w:val="23"/>
                <w:szCs w:val="23"/>
              </w:rPr>
              <w:t>LIC. JORGE ALBERTO ZAVALA FRÍAS</w:t>
            </w:r>
          </w:p>
          <w:p w14:paraId="2C07E5DE" w14:textId="77777777" w:rsidR="00676F2E" w:rsidRPr="00106CF3" w:rsidRDefault="00676F2E" w:rsidP="00D05B4C">
            <w:pPr>
              <w:widowControl w:val="0"/>
              <w:spacing w:before="0" w:after="0"/>
              <w:jc w:val="center"/>
              <w:rPr>
                <w:rFonts w:ascii="Arial" w:hAnsi="Arial" w:cs="Arial"/>
                <w:b/>
                <w:sz w:val="23"/>
                <w:szCs w:val="23"/>
              </w:rPr>
            </w:pPr>
            <w:r w:rsidRPr="00106CF3">
              <w:rPr>
                <w:rFonts w:ascii="Arial" w:hAnsi="Arial" w:cs="Arial"/>
                <w:b/>
                <w:spacing w:val="-10"/>
                <w:sz w:val="23"/>
                <w:szCs w:val="23"/>
              </w:rPr>
              <w:t>SECRETARIO DEL CONSEJO</w:t>
            </w:r>
          </w:p>
        </w:tc>
      </w:tr>
    </w:tbl>
    <w:p w14:paraId="7F3FB801" w14:textId="31B51E44" w:rsidR="00676F2E" w:rsidRPr="008B119E" w:rsidRDefault="00676F2E" w:rsidP="002F0A00">
      <w:pPr>
        <w:spacing w:before="0" w:after="0"/>
        <w:rPr>
          <w:rFonts w:ascii="Arial" w:hAnsi="Arial" w:cs="Arial"/>
        </w:rPr>
      </w:pPr>
    </w:p>
    <w:sectPr w:rsidR="00676F2E" w:rsidRPr="008B119E" w:rsidSect="002F0A00">
      <w:headerReference w:type="default" r:id="rId7"/>
      <w:footerReference w:type="default" r:id="rId8"/>
      <w:pgSz w:w="12240" w:h="15840" w:code="1"/>
      <w:pgMar w:top="2835"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356AC" w14:textId="77777777" w:rsidR="00786C1E" w:rsidRDefault="00786C1E" w:rsidP="00000196">
      <w:pPr>
        <w:spacing w:before="0" w:after="0" w:line="240" w:lineRule="auto"/>
      </w:pPr>
      <w:r>
        <w:separator/>
      </w:r>
    </w:p>
  </w:endnote>
  <w:endnote w:type="continuationSeparator" w:id="0">
    <w:p w14:paraId="4E7C72B0" w14:textId="77777777" w:rsidR="00786C1E" w:rsidRDefault="00786C1E" w:rsidP="000001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3366"/>
      </w:rPr>
      <w:id w:val="-557169871"/>
      <w:docPartObj>
        <w:docPartGallery w:val="Page Numbers (Bottom of Page)"/>
        <w:docPartUnique/>
      </w:docPartObj>
    </w:sdtPr>
    <w:sdtEndPr>
      <w:rPr>
        <w:rFonts w:ascii="Arial" w:hAnsi="Arial" w:cs="Arial"/>
      </w:rPr>
    </w:sdtEndPr>
    <w:sdtContent>
      <w:sdt>
        <w:sdtPr>
          <w:rPr>
            <w:b/>
            <w:color w:val="993366"/>
          </w:rPr>
          <w:id w:val="5634020"/>
          <w:docPartObj>
            <w:docPartGallery w:val="Page Numbers (Top of Page)"/>
            <w:docPartUnique/>
          </w:docPartObj>
        </w:sdtPr>
        <w:sdtEndPr>
          <w:rPr>
            <w:rFonts w:ascii="Arial" w:hAnsi="Arial" w:cs="Arial"/>
          </w:rPr>
        </w:sdtEndPr>
        <w:sdtContent>
          <w:p w14:paraId="25335BA4" w14:textId="652F1592" w:rsidR="00D05B4C" w:rsidRPr="005030E3" w:rsidRDefault="00D05B4C" w:rsidP="005030E3">
            <w:pPr>
              <w:pStyle w:val="Piedepgina"/>
              <w:jc w:val="right"/>
              <w:rPr>
                <w:rFonts w:ascii="Arial" w:hAnsi="Arial" w:cs="Arial"/>
                <w:b/>
                <w:color w:val="993366"/>
              </w:rPr>
            </w:pPr>
            <w:r w:rsidRPr="005030E3">
              <w:rPr>
                <w:rFonts w:ascii="Arial" w:hAnsi="Arial" w:cs="Arial"/>
                <w:b/>
                <w:color w:val="993366"/>
                <w:lang w:val="es-ES"/>
              </w:rPr>
              <w:t xml:space="preserve">Página </w:t>
            </w:r>
            <w:r w:rsidRPr="005030E3">
              <w:rPr>
                <w:rFonts w:ascii="Arial" w:hAnsi="Arial" w:cs="Arial"/>
                <w:b/>
                <w:bCs/>
                <w:color w:val="993366"/>
              </w:rPr>
              <w:fldChar w:fldCharType="begin"/>
            </w:r>
            <w:r w:rsidRPr="005030E3">
              <w:rPr>
                <w:rFonts w:ascii="Arial" w:hAnsi="Arial" w:cs="Arial"/>
                <w:b/>
                <w:bCs/>
                <w:color w:val="993366"/>
              </w:rPr>
              <w:instrText>PAGE</w:instrText>
            </w:r>
            <w:r w:rsidRPr="005030E3">
              <w:rPr>
                <w:rFonts w:ascii="Arial" w:hAnsi="Arial" w:cs="Arial"/>
                <w:b/>
                <w:bCs/>
                <w:color w:val="993366"/>
              </w:rPr>
              <w:fldChar w:fldCharType="separate"/>
            </w:r>
            <w:r w:rsidR="002F0A00">
              <w:rPr>
                <w:rFonts w:ascii="Arial" w:hAnsi="Arial" w:cs="Arial"/>
                <w:b/>
                <w:bCs/>
                <w:noProof/>
                <w:color w:val="993366"/>
              </w:rPr>
              <w:t>10</w:t>
            </w:r>
            <w:r w:rsidRPr="005030E3">
              <w:rPr>
                <w:rFonts w:ascii="Arial" w:hAnsi="Arial" w:cs="Arial"/>
                <w:b/>
                <w:bCs/>
                <w:color w:val="993366"/>
              </w:rPr>
              <w:fldChar w:fldCharType="end"/>
            </w:r>
            <w:r w:rsidRPr="005030E3">
              <w:rPr>
                <w:rFonts w:ascii="Arial" w:hAnsi="Arial" w:cs="Arial"/>
                <w:b/>
                <w:color w:val="993366"/>
                <w:lang w:val="es-ES"/>
              </w:rPr>
              <w:t xml:space="preserve"> | </w:t>
            </w:r>
            <w:r w:rsidRPr="005030E3">
              <w:rPr>
                <w:rFonts w:ascii="Arial" w:hAnsi="Arial" w:cs="Arial"/>
                <w:b/>
                <w:bCs/>
                <w:color w:val="993366"/>
              </w:rPr>
              <w:fldChar w:fldCharType="begin"/>
            </w:r>
            <w:r w:rsidRPr="005030E3">
              <w:rPr>
                <w:rFonts w:ascii="Arial" w:hAnsi="Arial" w:cs="Arial"/>
                <w:b/>
                <w:bCs/>
                <w:color w:val="993366"/>
              </w:rPr>
              <w:instrText>NUMPAGES</w:instrText>
            </w:r>
            <w:r w:rsidRPr="005030E3">
              <w:rPr>
                <w:rFonts w:ascii="Arial" w:hAnsi="Arial" w:cs="Arial"/>
                <w:b/>
                <w:bCs/>
                <w:color w:val="993366"/>
              </w:rPr>
              <w:fldChar w:fldCharType="separate"/>
            </w:r>
            <w:r w:rsidR="002F0A00">
              <w:rPr>
                <w:rFonts w:ascii="Arial" w:hAnsi="Arial" w:cs="Arial"/>
                <w:b/>
                <w:bCs/>
                <w:noProof/>
                <w:color w:val="993366"/>
              </w:rPr>
              <w:t>10</w:t>
            </w:r>
            <w:r w:rsidRPr="005030E3">
              <w:rPr>
                <w:rFonts w:ascii="Arial" w:hAnsi="Arial" w:cs="Arial"/>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4772E" w14:textId="77777777" w:rsidR="00786C1E" w:rsidRDefault="00786C1E" w:rsidP="00000196">
      <w:pPr>
        <w:spacing w:before="0" w:after="0" w:line="240" w:lineRule="auto"/>
      </w:pPr>
      <w:r>
        <w:separator/>
      </w:r>
    </w:p>
  </w:footnote>
  <w:footnote w:type="continuationSeparator" w:id="0">
    <w:p w14:paraId="65E9AD36" w14:textId="77777777" w:rsidR="00786C1E" w:rsidRDefault="00786C1E" w:rsidP="000001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05B4C" w:rsidRPr="00063338" w14:paraId="6A2CD6BB" w14:textId="77777777" w:rsidTr="00D05B4C">
      <w:tc>
        <w:tcPr>
          <w:tcW w:w="1418" w:type="dxa"/>
        </w:tcPr>
        <w:p w14:paraId="31FC2B1F" w14:textId="77777777" w:rsidR="00D05B4C" w:rsidRPr="00063338" w:rsidRDefault="00D05B4C" w:rsidP="00000196">
          <w:pPr>
            <w:pStyle w:val="Encabezado"/>
            <w:ind w:left="-170"/>
            <w:jc w:val="left"/>
          </w:pPr>
          <w:r>
            <w:rPr>
              <w:b/>
              <w:noProof/>
              <w:sz w:val="32"/>
              <w:lang w:eastAsia="es-MX"/>
            </w:rPr>
            <w:drawing>
              <wp:inline distT="0" distB="0" distL="0" distR="0" wp14:anchorId="5536C51C" wp14:editId="3134A2B5">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20F13FD" w14:textId="77777777" w:rsidR="00D05B4C" w:rsidRPr="00000196" w:rsidRDefault="00D05B4C" w:rsidP="00000196">
          <w:pPr>
            <w:pStyle w:val="Encabezado"/>
            <w:spacing w:before="720"/>
            <w:jc w:val="center"/>
            <w:rPr>
              <w:rFonts w:ascii="Arial" w:hAnsi="Arial" w:cs="Arial"/>
              <w:b/>
              <w:bCs/>
              <w:sz w:val="25"/>
              <w:szCs w:val="25"/>
            </w:rPr>
          </w:pPr>
          <w:r w:rsidRPr="00000196">
            <w:rPr>
              <w:rFonts w:ascii="Arial" w:hAnsi="Arial" w:cs="Arial"/>
              <w:b/>
              <w:bCs/>
              <w:sz w:val="25"/>
              <w:szCs w:val="25"/>
            </w:rPr>
            <w:t>INSTITUTO ELECTORAL Y DE PARTICIPACIÓN CIUDADANA DE TABASCO</w:t>
          </w:r>
        </w:p>
        <w:p w14:paraId="077E8E94" w14:textId="77777777" w:rsidR="00D05B4C" w:rsidRPr="00063338" w:rsidRDefault="00D05B4C" w:rsidP="00000196">
          <w:pPr>
            <w:pStyle w:val="Encabezado"/>
            <w:jc w:val="center"/>
          </w:pPr>
          <w:r w:rsidRPr="00000196">
            <w:rPr>
              <w:rFonts w:ascii="Arial" w:hAnsi="Arial" w:cs="Arial"/>
              <w:sz w:val="26"/>
              <w:szCs w:val="26"/>
            </w:rPr>
            <w:t>CONSEJO ESTATAL</w:t>
          </w:r>
        </w:p>
      </w:tc>
      <w:tc>
        <w:tcPr>
          <w:tcW w:w="1701" w:type="dxa"/>
        </w:tcPr>
        <w:p w14:paraId="1D308A0D" w14:textId="5CAF6A76" w:rsidR="00D05B4C" w:rsidRPr="00063338" w:rsidRDefault="00D05B4C" w:rsidP="00000196">
          <w:pPr>
            <w:pStyle w:val="Encabezado"/>
            <w:spacing w:before="480"/>
          </w:pPr>
          <w:r>
            <w:rPr>
              <w:noProof/>
              <w:lang w:eastAsia="es-MX"/>
            </w:rPr>
            <w:drawing>
              <wp:inline distT="0" distB="0" distL="0" distR="0" wp14:anchorId="50940755" wp14:editId="59EA393F">
                <wp:extent cx="921600" cy="7560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59E896" w14:textId="1B8A58C9" w:rsidR="00D05B4C" w:rsidRDefault="00106CF3" w:rsidP="00106CF3">
    <w:pPr>
      <w:pStyle w:val="Encabezado"/>
      <w:jc w:val="right"/>
      <w:rPr>
        <w:rFonts w:ascii="Arial" w:hAnsi="Arial" w:cs="Arial"/>
        <w:b/>
      </w:rPr>
    </w:pPr>
    <w:r w:rsidRPr="00106CF3">
      <w:rPr>
        <w:rFonts w:ascii="Arial" w:hAnsi="Arial" w:cs="Arial"/>
        <w:b/>
      </w:rPr>
      <w:t>CE/2023/051</w:t>
    </w:r>
  </w:p>
  <w:p w14:paraId="257CE4B9" w14:textId="77777777" w:rsidR="00106CF3" w:rsidRPr="00106CF3" w:rsidRDefault="00106CF3" w:rsidP="00106CF3">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11E"/>
    <w:multiLevelType w:val="hybridMultilevel"/>
    <w:tmpl w:val="9C7A7592"/>
    <w:lvl w:ilvl="0" w:tplc="2A1CF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926B1"/>
    <w:multiLevelType w:val="hybridMultilevel"/>
    <w:tmpl w:val="6CA44A3A"/>
    <w:lvl w:ilvl="0" w:tplc="E84437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CB76C4"/>
    <w:multiLevelType w:val="hybridMultilevel"/>
    <w:tmpl w:val="2C5E8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A77A0D"/>
    <w:multiLevelType w:val="hybridMultilevel"/>
    <w:tmpl w:val="9AB0C76A"/>
    <w:lvl w:ilvl="0" w:tplc="8C8A0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55F"/>
    <w:multiLevelType w:val="hybridMultilevel"/>
    <w:tmpl w:val="6FAEF8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70074D"/>
    <w:multiLevelType w:val="multilevel"/>
    <w:tmpl w:val="A3CEC3E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7F5372BC"/>
    <w:multiLevelType w:val="hybridMultilevel"/>
    <w:tmpl w:val="5404B5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F1"/>
    <w:rsid w:val="00000196"/>
    <w:rsid w:val="000A5AF1"/>
    <w:rsid w:val="000C5A48"/>
    <w:rsid w:val="00106CF3"/>
    <w:rsid w:val="001375E1"/>
    <w:rsid w:val="001463C8"/>
    <w:rsid w:val="00166CD6"/>
    <w:rsid w:val="001877E2"/>
    <w:rsid w:val="001B4A91"/>
    <w:rsid w:val="001C38F0"/>
    <w:rsid w:val="002119D8"/>
    <w:rsid w:val="00290F76"/>
    <w:rsid w:val="00297827"/>
    <w:rsid w:val="002A45B4"/>
    <w:rsid w:val="002B5FC2"/>
    <w:rsid w:val="002B7525"/>
    <w:rsid w:val="002C0E3E"/>
    <w:rsid w:val="002D0921"/>
    <w:rsid w:val="002E6E76"/>
    <w:rsid w:val="002F0A00"/>
    <w:rsid w:val="0031549D"/>
    <w:rsid w:val="003227B4"/>
    <w:rsid w:val="00347311"/>
    <w:rsid w:val="00372F56"/>
    <w:rsid w:val="0039300B"/>
    <w:rsid w:val="003933E6"/>
    <w:rsid w:val="003B6CCF"/>
    <w:rsid w:val="003C69BE"/>
    <w:rsid w:val="004500F9"/>
    <w:rsid w:val="00465685"/>
    <w:rsid w:val="005030E3"/>
    <w:rsid w:val="00512DFA"/>
    <w:rsid w:val="005131AD"/>
    <w:rsid w:val="00550382"/>
    <w:rsid w:val="005D2449"/>
    <w:rsid w:val="005F101D"/>
    <w:rsid w:val="006043C4"/>
    <w:rsid w:val="0065547F"/>
    <w:rsid w:val="00676F2E"/>
    <w:rsid w:val="00690179"/>
    <w:rsid w:val="006F143D"/>
    <w:rsid w:val="006F4CF7"/>
    <w:rsid w:val="007455D0"/>
    <w:rsid w:val="00764DD5"/>
    <w:rsid w:val="0077007D"/>
    <w:rsid w:val="00781FA8"/>
    <w:rsid w:val="00786C1E"/>
    <w:rsid w:val="007A5437"/>
    <w:rsid w:val="008B119E"/>
    <w:rsid w:val="008B14C2"/>
    <w:rsid w:val="008C34DB"/>
    <w:rsid w:val="008F01A6"/>
    <w:rsid w:val="00930B4D"/>
    <w:rsid w:val="00956161"/>
    <w:rsid w:val="009D5BB0"/>
    <w:rsid w:val="00A24FC8"/>
    <w:rsid w:val="00A52F5E"/>
    <w:rsid w:val="00A92989"/>
    <w:rsid w:val="00AA2928"/>
    <w:rsid w:val="00AF0F99"/>
    <w:rsid w:val="00B1614C"/>
    <w:rsid w:val="00B40847"/>
    <w:rsid w:val="00B41EED"/>
    <w:rsid w:val="00B86C57"/>
    <w:rsid w:val="00B9031B"/>
    <w:rsid w:val="00B925A8"/>
    <w:rsid w:val="00BB543E"/>
    <w:rsid w:val="00BE589B"/>
    <w:rsid w:val="00C3588E"/>
    <w:rsid w:val="00C53670"/>
    <w:rsid w:val="00CB1501"/>
    <w:rsid w:val="00CB229F"/>
    <w:rsid w:val="00CB32F6"/>
    <w:rsid w:val="00CC589C"/>
    <w:rsid w:val="00CD32E7"/>
    <w:rsid w:val="00D05B4C"/>
    <w:rsid w:val="00D07ECA"/>
    <w:rsid w:val="00D302A9"/>
    <w:rsid w:val="00D63101"/>
    <w:rsid w:val="00DC3116"/>
    <w:rsid w:val="00DD3A1D"/>
    <w:rsid w:val="00DE371A"/>
    <w:rsid w:val="00E30A70"/>
    <w:rsid w:val="00E3129A"/>
    <w:rsid w:val="00E7660C"/>
    <w:rsid w:val="00E92409"/>
    <w:rsid w:val="00EC16BA"/>
    <w:rsid w:val="00F01614"/>
    <w:rsid w:val="00F322A8"/>
    <w:rsid w:val="00F35273"/>
    <w:rsid w:val="00FA47FA"/>
    <w:rsid w:val="00FF0D90"/>
    <w:rsid w:val="00FF4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13EE"/>
  <w15:chartTrackingRefBased/>
  <w15:docId w15:val="{FE901F17-F4F4-4D64-9FF6-E5D79EA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3E6"/>
    <w:pPr>
      <w:spacing w:before="240" w:after="240" w:line="288" w:lineRule="auto"/>
      <w:jc w:val="both"/>
    </w:pPr>
    <w:rPr>
      <w:rFonts w:asciiTheme="majorHAnsi" w:hAnsiTheme="majorHAnsi" w:cstheme="majorHAnsi"/>
      <w:sz w:val="24"/>
      <w:szCs w:val="24"/>
    </w:rPr>
  </w:style>
  <w:style w:type="paragraph" w:styleId="Ttulo1">
    <w:name w:val="heading 1"/>
    <w:basedOn w:val="Normal"/>
    <w:next w:val="Normal"/>
    <w:link w:val="Ttulo1Car"/>
    <w:uiPriority w:val="9"/>
    <w:qFormat/>
    <w:rsid w:val="00781FA8"/>
    <w:pPr>
      <w:numPr>
        <w:numId w:val="5"/>
      </w:numPr>
      <w:spacing w:before="600" w:after="360"/>
      <w:jc w:val="center"/>
      <w:outlineLvl w:val="0"/>
    </w:pPr>
    <w:rPr>
      <w:rFonts w:ascii="Arial" w:hAnsi="Arial" w:cs="Arial"/>
      <w:b/>
      <w:bCs/>
      <w:sz w:val="28"/>
      <w:szCs w:val="28"/>
    </w:rPr>
  </w:style>
  <w:style w:type="paragraph" w:styleId="Ttulo2">
    <w:name w:val="heading 2"/>
    <w:basedOn w:val="Normal"/>
    <w:next w:val="Normal"/>
    <w:link w:val="Ttulo2Car"/>
    <w:uiPriority w:val="9"/>
    <w:unhideWhenUsed/>
    <w:qFormat/>
    <w:rsid w:val="008B14C2"/>
    <w:pPr>
      <w:numPr>
        <w:ilvl w:val="1"/>
        <w:numId w:val="5"/>
      </w:numPr>
      <w:spacing w:before="480"/>
      <w:outlineLvl w:val="1"/>
    </w:pPr>
    <w:rPr>
      <w:rFonts w:ascii="Arial" w:hAnsi="Arial" w:cs="Arial"/>
      <w:b/>
      <w:bCs/>
    </w:rPr>
  </w:style>
  <w:style w:type="paragraph" w:styleId="Ttulo3">
    <w:name w:val="heading 3"/>
    <w:basedOn w:val="Normal"/>
    <w:next w:val="Normal"/>
    <w:link w:val="Ttulo3Car"/>
    <w:uiPriority w:val="9"/>
    <w:semiHidden/>
    <w:unhideWhenUsed/>
    <w:qFormat/>
    <w:rsid w:val="00781FA8"/>
    <w:pPr>
      <w:keepNext/>
      <w:keepLines/>
      <w:numPr>
        <w:ilvl w:val="2"/>
        <w:numId w:val="5"/>
      </w:numPr>
      <w:spacing w:before="40" w:after="0"/>
      <w:outlineLvl w:val="2"/>
    </w:pPr>
    <w:rPr>
      <w:rFonts w:eastAsiaTheme="majorEastAsia" w:cstheme="majorBidi"/>
      <w:color w:val="1F3763" w:themeColor="accent1" w:themeShade="7F"/>
    </w:rPr>
  </w:style>
  <w:style w:type="paragraph" w:styleId="Ttulo4">
    <w:name w:val="heading 4"/>
    <w:basedOn w:val="Normal"/>
    <w:next w:val="Normal"/>
    <w:link w:val="Ttulo4Car"/>
    <w:uiPriority w:val="9"/>
    <w:semiHidden/>
    <w:unhideWhenUsed/>
    <w:qFormat/>
    <w:rsid w:val="00781FA8"/>
    <w:pPr>
      <w:keepNext/>
      <w:keepLines/>
      <w:numPr>
        <w:ilvl w:val="3"/>
        <w:numId w:val="5"/>
      </w:numPr>
      <w:spacing w:before="40" w:after="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81FA8"/>
    <w:pPr>
      <w:keepNext/>
      <w:keepLines/>
      <w:numPr>
        <w:ilvl w:val="4"/>
        <w:numId w:val="5"/>
      </w:numPr>
      <w:spacing w:before="40" w:after="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81FA8"/>
    <w:pPr>
      <w:keepNext/>
      <w:keepLines/>
      <w:numPr>
        <w:ilvl w:val="5"/>
        <w:numId w:val="5"/>
      </w:numPr>
      <w:spacing w:before="40" w:after="0"/>
      <w:outlineLvl w:val="5"/>
    </w:pPr>
    <w:rPr>
      <w:rFonts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781FA8"/>
    <w:pPr>
      <w:keepNext/>
      <w:keepLines/>
      <w:numPr>
        <w:ilvl w:val="6"/>
        <w:numId w:val="5"/>
      </w:numPr>
      <w:spacing w:before="40" w:after="0"/>
      <w:outlineLvl w:val="6"/>
    </w:pPr>
    <w:rPr>
      <w:rFonts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781FA8"/>
    <w:pPr>
      <w:keepNext/>
      <w:keepLines/>
      <w:numPr>
        <w:ilvl w:val="7"/>
        <w:numId w:val="5"/>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1FA8"/>
    <w:pPr>
      <w:keepNext/>
      <w:keepLines/>
      <w:numPr>
        <w:ilvl w:val="8"/>
        <w:numId w:val="5"/>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FA8"/>
    <w:rPr>
      <w:rFonts w:ascii="Arial" w:hAnsi="Arial" w:cs="Arial"/>
      <w:b/>
      <w:bCs/>
      <w:sz w:val="28"/>
      <w:szCs w:val="28"/>
    </w:rPr>
  </w:style>
  <w:style w:type="character" w:customStyle="1" w:styleId="Ttulo2Car">
    <w:name w:val="Título 2 Car"/>
    <w:basedOn w:val="Fuentedeprrafopredeter"/>
    <w:link w:val="Ttulo2"/>
    <w:uiPriority w:val="9"/>
    <w:rsid w:val="008B14C2"/>
    <w:rPr>
      <w:rFonts w:ascii="Arial" w:hAnsi="Arial" w:cs="Arial"/>
      <w:b/>
      <w:bCs/>
      <w:sz w:val="24"/>
      <w:szCs w:val="24"/>
    </w:rPr>
  </w:style>
  <w:style w:type="paragraph" w:styleId="Prrafodelista">
    <w:name w:val="List Paragraph"/>
    <w:basedOn w:val="Normal"/>
    <w:uiPriority w:val="34"/>
    <w:qFormat/>
    <w:rsid w:val="000A5AF1"/>
    <w:pPr>
      <w:ind w:left="720"/>
      <w:contextualSpacing/>
    </w:pPr>
  </w:style>
  <w:style w:type="paragraph" w:styleId="Encabezado">
    <w:name w:val="header"/>
    <w:basedOn w:val="Normal"/>
    <w:link w:val="EncabezadoCar"/>
    <w:uiPriority w:val="99"/>
    <w:unhideWhenUsed/>
    <w:rsid w:val="0000019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00196"/>
    <w:rPr>
      <w:rFonts w:asciiTheme="majorHAnsi" w:hAnsiTheme="majorHAnsi" w:cstheme="majorHAnsi"/>
      <w:sz w:val="24"/>
      <w:szCs w:val="24"/>
    </w:rPr>
  </w:style>
  <w:style w:type="paragraph" w:styleId="Piedepgina">
    <w:name w:val="footer"/>
    <w:basedOn w:val="Normal"/>
    <w:link w:val="PiedepginaCar"/>
    <w:uiPriority w:val="99"/>
    <w:unhideWhenUsed/>
    <w:rsid w:val="0000019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00196"/>
    <w:rPr>
      <w:rFonts w:asciiTheme="majorHAnsi" w:hAnsiTheme="majorHAnsi" w:cstheme="majorHAnsi"/>
      <w:sz w:val="24"/>
      <w:szCs w:val="24"/>
    </w:rPr>
  </w:style>
  <w:style w:type="table" w:styleId="Tablaconcuadrcula">
    <w:name w:val="Table Grid"/>
    <w:basedOn w:val="Tablanormal"/>
    <w:uiPriority w:val="59"/>
    <w:rsid w:val="000001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A52F5E"/>
    <w:pPr>
      <w:spacing w:before="0" w:line="300" w:lineRule="auto"/>
    </w:pPr>
    <w:rPr>
      <w:rFonts w:ascii="Arial" w:hAnsi="Arial" w:cs="Arial"/>
      <w:b/>
      <w:bCs/>
    </w:rPr>
  </w:style>
  <w:style w:type="character" w:customStyle="1" w:styleId="TtuloCar">
    <w:name w:val="Título Car"/>
    <w:basedOn w:val="Fuentedeprrafopredeter"/>
    <w:link w:val="Ttulo"/>
    <w:uiPriority w:val="10"/>
    <w:rsid w:val="00A52F5E"/>
    <w:rPr>
      <w:rFonts w:ascii="Arial" w:hAnsi="Arial" w:cs="Arial"/>
      <w:b/>
      <w:bCs/>
      <w:sz w:val="24"/>
      <w:szCs w:val="24"/>
    </w:rPr>
  </w:style>
  <w:style w:type="character" w:customStyle="1" w:styleId="Ttulo3Car">
    <w:name w:val="Título 3 Car"/>
    <w:basedOn w:val="Fuentedeprrafopredeter"/>
    <w:link w:val="Ttulo3"/>
    <w:uiPriority w:val="9"/>
    <w:semiHidden/>
    <w:rsid w:val="00781FA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81FA8"/>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semiHidden/>
    <w:rsid w:val="00781F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781F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781F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781F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81FA8"/>
    <w:rPr>
      <w:rFonts w:asciiTheme="majorHAnsi" w:eastAsiaTheme="majorEastAsia" w:hAnsiTheme="majorHAnsi" w:cstheme="majorBidi"/>
      <w:i/>
      <w:iCs/>
      <w:color w:val="272727" w:themeColor="text1" w:themeTint="D8"/>
      <w:sz w:val="21"/>
      <w:szCs w:val="21"/>
    </w:rPr>
  </w:style>
  <w:style w:type="paragraph" w:customStyle="1" w:styleId="Puntos">
    <w:name w:val="Puntos"/>
    <w:basedOn w:val="Normal"/>
    <w:link w:val="PuntosCar"/>
    <w:qFormat/>
    <w:rsid w:val="00676F2E"/>
    <w:pPr>
      <w:spacing w:before="0" w:line="283" w:lineRule="auto"/>
      <w:ind w:left="624"/>
    </w:pPr>
    <w:rPr>
      <w:rFonts w:ascii="Arial" w:hAnsi="Arial" w:cs="Arial"/>
      <w:kern w:val="0"/>
      <w14:ligatures w14:val="none"/>
    </w:rPr>
  </w:style>
  <w:style w:type="character" w:customStyle="1" w:styleId="PuntosCar">
    <w:name w:val="Puntos Car"/>
    <w:basedOn w:val="Fuentedeprrafopredeter"/>
    <w:link w:val="Puntos"/>
    <w:rsid w:val="00676F2E"/>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2894</Words>
  <Characters>15922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22</cp:revision>
  <dcterms:created xsi:type="dcterms:W3CDTF">2023-11-17T21:34:00Z</dcterms:created>
  <dcterms:modified xsi:type="dcterms:W3CDTF">2023-11-30T20:40:00Z</dcterms:modified>
</cp:coreProperties>
</file>